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489" w:rsidRPr="00EA6489" w:rsidRDefault="00EA6489" w:rsidP="00EA6489">
      <w:pPr>
        <w:spacing w:after="0" w:line="240" w:lineRule="auto"/>
        <w:jc w:val="center"/>
        <w:rPr>
          <w:rFonts w:ascii="Arial" w:hAnsi="Arial" w:cs="Arial"/>
          <w:b/>
          <w:sz w:val="28"/>
          <w:szCs w:val="28"/>
        </w:rPr>
      </w:pPr>
      <w:r>
        <w:rPr>
          <w:rFonts w:ascii="Arial" w:hAnsi="Arial" w:cs="Arial"/>
          <w:b/>
          <w:sz w:val="28"/>
          <w:szCs w:val="28"/>
        </w:rPr>
        <w:br/>
      </w:r>
      <w:r>
        <w:rPr>
          <w:rFonts w:ascii="Arial" w:hAnsi="Arial" w:cs="Arial"/>
          <w:b/>
          <w:sz w:val="28"/>
          <w:szCs w:val="28"/>
        </w:rPr>
        <w:br/>
      </w:r>
      <w:r>
        <w:rPr>
          <w:rFonts w:ascii="Arial" w:hAnsi="Arial" w:cs="Arial"/>
          <w:b/>
          <w:sz w:val="28"/>
          <w:szCs w:val="28"/>
        </w:rPr>
        <w:br/>
      </w:r>
      <w:r w:rsidRPr="00EA6489">
        <w:rPr>
          <w:rFonts w:ascii="Arial" w:hAnsi="Arial" w:cs="Arial"/>
          <w:b/>
          <w:sz w:val="28"/>
          <w:szCs w:val="28"/>
        </w:rPr>
        <w:t>Erhebungsbogen</w:t>
      </w:r>
    </w:p>
    <w:p w:rsidR="00EA6489" w:rsidRPr="00EA6489" w:rsidRDefault="00EA6489" w:rsidP="00EA6489">
      <w:pPr>
        <w:spacing w:after="0" w:line="240" w:lineRule="auto"/>
        <w:jc w:val="center"/>
        <w:rPr>
          <w:rFonts w:ascii="Arial" w:hAnsi="Arial" w:cs="Arial"/>
          <w:b/>
          <w:sz w:val="28"/>
          <w:szCs w:val="28"/>
        </w:rPr>
      </w:pPr>
      <w:r w:rsidRPr="00EA6489">
        <w:rPr>
          <w:rFonts w:ascii="Arial" w:hAnsi="Arial" w:cs="Arial"/>
          <w:b/>
          <w:sz w:val="28"/>
          <w:szCs w:val="28"/>
        </w:rPr>
        <w:t>„höheres Risiko und verstärkte Sorgfaltspflichten“</w:t>
      </w:r>
      <w:r w:rsidRPr="00EA6489">
        <w:rPr>
          <w:rStyle w:val="Funotenzeichen"/>
          <w:rFonts w:ascii="Arial" w:hAnsi="Arial" w:cs="Arial"/>
          <w:b/>
          <w:sz w:val="28"/>
          <w:szCs w:val="28"/>
        </w:rPr>
        <w:footnoteReference w:id="1"/>
      </w:r>
      <w:r w:rsidRPr="00EA6489">
        <w:rPr>
          <w:rFonts w:ascii="Arial" w:hAnsi="Arial" w:cs="Arial"/>
          <w:b/>
          <w:sz w:val="28"/>
          <w:szCs w:val="28"/>
        </w:rPr>
        <w:t xml:space="preserve"> </w:t>
      </w:r>
    </w:p>
    <w:p w:rsidR="00EA6489" w:rsidRPr="00EA6489" w:rsidRDefault="00EA6489" w:rsidP="00EA6489">
      <w:pPr>
        <w:spacing w:after="0" w:line="240" w:lineRule="auto"/>
        <w:jc w:val="center"/>
        <w:rPr>
          <w:rFonts w:ascii="Arial" w:hAnsi="Arial" w:cs="Arial"/>
          <w:b/>
          <w:sz w:val="28"/>
          <w:szCs w:val="28"/>
        </w:rPr>
      </w:pPr>
    </w:p>
    <w:p w:rsidR="00EA6489" w:rsidRPr="00EA6489" w:rsidRDefault="00EA6489" w:rsidP="00EA6489">
      <w:pPr>
        <w:spacing w:after="0" w:line="240" w:lineRule="auto"/>
        <w:jc w:val="center"/>
        <w:rPr>
          <w:rFonts w:ascii="Arial" w:hAnsi="Arial" w:cs="Arial"/>
          <w:b/>
          <w:sz w:val="28"/>
          <w:szCs w:val="28"/>
        </w:rPr>
      </w:pPr>
      <w:r w:rsidRPr="00EA6489">
        <w:rPr>
          <w:rFonts w:ascii="Arial" w:hAnsi="Arial" w:cs="Arial"/>
          <w:b/>
          <w:sz w:val="28"/>
          <w:szCs w:val="28"/>
        </w:rPr>
        <w:t>zu den Feststellungen eines Steuerberaters nach dem</w:t>
      </w:r>
    </w:p>
    <w:p w:rsidR="00EA6489" w:rsidRPr="00EA6489" w:rsidRDefault="00EA6489" w:rsidP="00EA6489">
      <w:pPr>
        <w:spacing w:after="0" w:line="240" w:lineRule="auto"/>
        <w:jc w:val="center"/>
        <w:rPr>
          <w:rFonts w:ascii="Arial" w:hAnsi="Arial" w:cs="Arial"/>
          <w:b/>
          <w:sz w:val="28"/>
          <w:szCs w:val="28"/>
        </w:rPr>
      </w:pPr>
      <w:r w:rsidRPr="00EA6489">
        <w:rPr>
          <w:rFonts w:ascii="Arial" w:hAnsi="Arial" w:cs="Arial"/>
          <w:b/>
          <w:sz w:val="28"/>
          <w:szCs w:val="28"/>
        </w:rPr>
        <w:t xml:space="preserve">Gesetz über das Aufspüren von Gewinnen aus schweren Straftaten </w:t>
      </w:r>
      <w:r w:rsidRPr="00EA6489">
        <w:rPr>
          <w:rFonts w:ascii="Arial" w:hAnsi="Arial" w:cs="Arial"/>
          <w:b/>
          <w:sz w:val="28"/>
          <w:szCs w:val="28"/>
        </w:rPr>
        <w:br/>
        <w:t>(Geldwäschegesetz – GwG)</w:t>
      </w:r>
    </w:p>
    <w:p w:rsidR="00EA6489" w:rsidRPr="00EA6489" w:rsidRDefault="00EA6489" w:rsidP="00EA6489">
      <w:pPr>
        <w:pStyle w:val="Listenabsatz"/>
        <w:spacing w:after="0" w:line="240" w:lineRule="auto"/>
        <w:ind w:left="0"/>
        <w:rPr>
          <w:rFonts w:ascii="Arial" w:hAnsi="Arial" w:cs="Arial"/>
          <w:b/>
          <w:szCs w:val="28"/>
        </w:rPr>
      </w:pPr>
      <w:r>
        <w:rPr>
          <w:rFonts w:ascii="Arial" w:hAnsi="Arial" w:cs="Arial"/>
          <w:b/>
        </w:rPr>
        <w:br/>
      </w:r>
      <w:r>
        <w:rPr>
          <w:rFonts w:ascii="Arial" w:hAnsi="Arial" w:cs="Arial"/>
          <w:b/>
        </w:rPr>
        <w:br/>
      </w:r>
      <w:r>
        <w:rPr>
          <w:rFonts w:ascii="Arial" w:hAnsi="Arial" w:cs="Arial"/>
          <w:b/>
        </w:rPr>
        <w:br/>
      </w:r>
      <w:r w:rsidRPr="00EA6489">
        <w:rPr>
          <w:rFonts w:ascii="Arial" w:hAnsi="Arial" w:cs="Arial"/>
          <w:b/>
          <w:szCs w:val="28"/>
        </w:rPr>
        <w:t xml:space="preserve">Vorbemerkung </w:t>
      </w:r>
    </w:p>
    <w:p w:rsidR="00EA6489" w:rsidRPr="009D1611" w:rsidRDefault="00EA6489" w:rsidP="00EA6489">
      <w:pPr>
        <w:pStyle w:val="Listenabsatz"/>
        <w:spacing w:after="0" w:line="240" w:lineRule="auto"/>
        <w:ind w:left="0"/>
        <w:rPr>
          <w:rFonts w:ascii="Arial" w:hAnsi="Arial" w:cs="Arial"/>
        </w:rPr>
      </w:pPr>
    </w:p>
    <w:p w:rsidR="00EA6489" w:rsidRPr="00EA6489" w:rsidRDefault="00EA6489" w:rsidP="00EA6489">
      <w:pPr>
        <w:pStyle w:val="Listenabsatz"/>
        <w:spacing w:after="0" w:line="240" w:lineRule="auto"/>
        <w:ind w:left="0"/>
        <w:rPr>
          <w:rFonts w:ascii="Arial" w:hAnsi="Arial" w:cs="Arial"/>
          <w:sz w:val="20"/>
        </w:rPr>
      </w:pPr>
      <w:r w:rsidRPr="00EA6489">
        <w:rPr>
          <w:rFonts w:ascii="Arial" w:hAnsi="Arial" w:cs="Arial"/>
          <w:sz w:val="20"/>
        </w:rPr>
        <w:t xml:space="preserve">Ein Steuerberater hat für jede Mandatsbeziehung (= dauerhafte Betreuung eines Mandanten) und auch für jedes einzelne Mandat außerhalb von derartigen Mandatsbeziehungen zu prüfen, ob ein </w:t>
      </w:r>
      <w:r w:rsidRPr="00EA6489">
        <w:rPr>
          <w:rFonts w:ascii="Arial" w:hAnsi="Arial" w:cs="Arial"/>
          <w:b/>
          <w:sz w:val="20"/>
        </w:rPr>
        <w:t>höheres Risiko</w:t>
      </w:r>
      <w:r w:rsidRPr="00EA6489">
        <w:rPr>
          <w:rFonts w:ascii="Arial" w:hAnsi="Arial" w:cs="Arial"/>
          <w:sz w:val="20"/>
        </w:rPr>
        <w:t xml:space="preserve"> der Geldwäsche oder Terrorismusfinanzierung</w:t>
      </w:r>
      <w:r w:rsidRPr="00EA6489">
        <w:rPr>
          <w:rStyle w:val="Funotenzeichen"/>
          <w:rFonts w:ascii="Arial" w:hAnsi="Arial" w:cs="Arial"/>
          <w:sz w:val="20"/>
        </w:rPr>
        <w:footnoteReference w:id="2"/>
      </w:r>
      <w:r w:rsidRPr="00EA6489">
        <w:rPr>
          <w:rFonts w:ascii="Arial" w:hAnsi="Arial" w:cs="Arial"/>
          <w:sz w:val="20"/>
        </w:rPr>
        <w:t xml:space="preserve"> besteht. Dann sind nach § 15 GwG sogenannte </w:t>
      </w:r>
      <w:r w:rsidRPr="00EA6489">
        <w:rPr>
          <w:rFonts w:ascii="Arial" w:hAnsi="Arial" w:cs="Arial"/>
          <w:b/>
          <w:sz w:val="20"/>
        </w:rPr>
        <w:t xml:space="preserve">verstärkte Sorgfaltspflichten </w:t>
      </w:r>
      <w:r w:rsidRPr="00EA6489">
        <w:rPr>
          <w:rFonts w:ascii="Arial" w:hAnsi="Arial" w:cs="Arial"/>
          <w:sz w:val="20"/>
        </w:rPr>
        <w:t>zu erfüllen, die über die allgemeinen Sorgfaltspflichten des Steuerberaters zur Geldwäscheprävention hinausgehen.</w:t>
      </w:r>
    </w:p>
    <w:p w:rsidR="00EA6489" w:rsidRPr="00EA6489" w:rsidRDefault="00EA6489" w:rsidP="00EA6489">
      <w:pPr>
        <w:pStyle w:val="Listenabsatz"/>
        <w:spacing w:after="0" w:line="240" w:lineRule="auto"/>
        <w:ind w:left="0"/>
        <w:rPr>
          <w:rFonts w:ascii="Arial" w:hAnsi="Arial" w:cs="Arial"/>
          <w:sz w:val="20"/>
        </w:rPr>
      </w:pPr>
    </w:p>
    <w:p w:rsidR="00EA6489" w:rsidRPr="00EA6489" w:rsidRDefault="00EA6489" w:rsidP="00EA6489">
      <w:pPr>
        <w:pStyle w:val="Listenabsatz"/>
        <w:spacing w:after="0" w:line="240" w:lineRule="auto"/>
        <w:ind w:left="0"/>
        <w:rPr>
          <w:rFonts w:ascii="Arial" w:hAnsi="Arial" w:cs="Arial"/>
          <w:sz w:val="20"/>
        </w:rPr>
      </w:pPr>
      <w:r w:rsidRPr="00EA6489">
        <w:rPr>
          <w:rFonts w:ascii="Arial" w:hAnsi="Arial" w:cs="Arial"/>
          <w:sz w:val="20"/>
        </w:rPr>
        <w:t>Ziel des nachfolgenden Erhebungsbogens ist es, mit ihm für jede Mandatsbeziehung beziehungsweise für jedes einzelne Mandat, das außerhalb von einer Mandatsbeziehung erteilt ist</w:t>
      </w:r>
      <w:r w:rsidRPr="00EA6489">
        <w:rPr>
          <w:rStyle w:val="Funotenzeichen"/>
          <w:rFonts w:ascii="Arial" w:hAnsi="Arial" w:cs="Arial"/>
          <w:sz w:val="20"/>
        </w:rPr>
        <w:footnoteReference w:id="3"/>
      </w:r>
      <w:r w:rsidRPr="00EA6489">
        <w:rPr>
          <w:rFonts w:ascii="Arial" w:hAnsi="Arial" w:cs="Arial"/>
          <w:sz w:val="20"/>
        </w:rPr>
        <w:t>,</w:t>
      </w:r>
      <w:r w:rsidRPr="00EA6489">
        <w:rPr>
          <w:rFonts w:ascii="Arial" w:hAnsi="Arial" w:cs="Arial"/>
          <w:sz w:val="20"/>
        </w:rPr>
        <w:br/>
      </w:r>
    </w:p>
    <w:p w:rsidR="00EA6489" w:rsidRPr="00EA6489" w:rsidRDefault="00EA6489" w:rsidP="00EA6489">
      <w:pPr>
        <w:pStyle w:val="Listenabsatz"/>
        <w:spacing w:after="0" w:line="240" w:lineRule="auto"/>
        <w:ind w:left="0"/>
        <w:rPr>
          <w:rFonts w:ascii="Arial" w:hAnsi="Arial" w:cs="Arial"/>
          <w:sz w:val="20"/>
        </w:rPr>
      </w:pPr>
    </w:p>
    <w:p w:rsidR="00EA6489" w:rsidRPr="00EA6489" w:rsidRDefault="00EA6489" w:rsidP="00EA6489">
      <w:pPr>
        <w:pStyle w:val="Listenabsatz"/>
        <w:numPr>
          <w:ilvl w:val="0"/>
          <w:numId w:val="6"/>
        </w:numPr>
        <w:spacing w:after="0" w:line="240" w:lineRule="auto"/>
        <w:ind w:left="851" w:hanging="425"/>
        <w:rPr>
          <w:rFonts w:ascii="Arial" w:hAnsi="Arial" w:cs="Arial"/>
          <w:sz w:val="20"/>
        </w:rPr>
      </w:pPr>
      <w:r w:rsidRPr="00EA6489">
        <w:rPr>
          <w:rFonts w:ascii="Arial" w:hAnsi="Arial" w:cs="Arial"/>
          <w:sz w:val="20"/>
        </w:rPr>
        <w:t xml:space="preserve">das Vorliegen eines höheren Risikos abzuklären und </w:t>
      </w:r>
    </w:p>
    <w:p w:rsidR="00EA6489" w:rsidRPr="00EA6489" w:rsidRDefault="00EA6489" w:rsidP="00EA6489">
      <w:pPr>
        <w:pStyle w:val="Listenabsatz"/>
        <w:spacing w:after="0" w:line="240" w:lineRule="auto"/>
        <w:ind w:left="851"/>
        <w:rPr>
          <w:rFonts w:ascii="Arial" w:hAnsi="Arial" w:cs="Arial"/>
          <w:sz w:val="20"/>
        </w:rPr>
      </w:pPr>
    </w:p>
    <w:p w:rsidR="00EA6489" w:rsidRPr="00EA6489" w:rsidRDefault="00EA6489" w:rsidP="00EA6489">
      <w:pPr>
        <w:pStyle w:val="Listenabsatz"/>
        <w:numPr>
          <w:ilvl w:val="0"/>
          <w:numId w:val="6"/>
        </w:numPr>
        <w:spacing w:after="0" w:line="240" w:lineRule="auto"/>
        <w:ind w:left="851" w:hanging="425"/>
        <w:rPr>
          <w:rFonts w:ascii="Arial" w:hAnsi="Arial" w:cs="Arial"/>
          <w:sz w:val="20"/>
        </w:rPr>
      </w:pPr>
      <w:r w:rsidRPr="00EA6489">
        <w:rPr>
          <w:rFonts w:ascii="Arial" w:hAnsi="Arial" w:cs="Arial"/>
          <w:sz w:val="20"/>
        </w:rPr>
        <w:t xml:space="preserve">bei einem festgestellten höheren Risiko die daran anknüpfenden verstärkten </w:t>
      </w:r>
      <w:r w:rsidRPr="00EA6489">
        <w:rPr>
          <w:rFonts w:ascii="Arial" w:hAnsi="Arial" w:cs="Arial"/>
          <w:sz w:val="20"/>
        </w:rPr>
        <w:br/>
        <w:t>Sorgfaltsmaßnahmen zu bestimmen</w:t>
      </w:r>
    </w:p>
    <w:p w:rsidR="00EA6489" w:rsidRPr="00EA6489" w:rsidRDefault="00EA6489" w:rsidP="00EA6489">
      <w:pPr>
        <w:pStyle w:val="Listenabsatz"/>
        <w:spacing w:after="0" w:line="240" w:lineRule="auto"/>
        <w:ind w:left="851"/>
        <w:rPr>
          <w:rFonts w:ascii="Arial" w:hAnsi="Arial" w:cs="Arial"/>
          <w:sz w:val="20"/>
        </w:rPr>
      </w:pPr>
    </w:p>
    <w:p w:rsidR="00EA6489" w:rsidRPr="00EA6489" w:rsidRDefault="00EA6489" w:rsidP="00EA6489">
      <w:pPr>
        <w:pStyle w:val="Listenabsatz"/>
        <w:numPr>
          <w:ilvl w:val="0"/>
          <w:numId w:val="6"/>
        </w:numPr>
        <w:spacing w:after="0" w:line="240" w:lineRule="auto"/>
        <w:ind w:left="851" w:hanging="425"/>
        <w:rPr>
          <w:rFonts w:ascii="Arial" w:hAnsi="Arial" w:cs="Arial"/>
          <w:sz w:val="20"/>
        </w:rPr>
      </w:pPr>
      <w:r w:rsidRPr="00EA6489">
        <w:rPr>
          <w:rFonts w:ascii="Arial" w:hAnsi="Arial" w:cs="Arial"/>
          <w:sz w:val="20"/>
        </w:rPr>
        <w:t>sowie schließlich die Überwachung von deren Umsetzung festzulegen.</w:t>
      </w:r>
    </w:p>
    <w:p w:rsidR="00EA6489" w:rsidRPr="00EA6489" w:rsidRDefault="00EA6489" w:rsidP="00EA6489">
      <w:pPr>
        <w:spacing w:after="0" w:line="240" w:lineRule="auto"/>
        <w:ind w:left="567" w:hanging="567"/>
        <w:rPr>
          <w:rFonts w:ascii="Arial" w:hAnsi="Arial" w:cs="Arial"/>
          <w:sz w:val="20"/>
        </w:rPr>
      </w:pPr>
    </w:p>
    <w:p w:rsidR="00EA6489" w:rsidRPr="00EA6489" w:rsidRDefault="00EA6489" w:rsidP="00EA6489">
      <w:pPr>
        <w:spacing w:after="0" w:line="240" w:lineRule="auto"/>
        <w:ind w:left="567" w:hanging="567"/>
        <w:rPr>
          <w:rFonts w:ascii="Arial" w:hAnsi="Arial" w:cs="Arial"/>
          <w:sz w:val="20"/>
        </w:rPr>
      </w:pPr>
    </w:p>
    <w:p w:rsidR="00EA6489" w:rsidRPr="00EA6489" w:rsidRDefault="00EA6489" w:rsidP="00EA6489">
      <w:pPr>
        <w:spacing w:after="0" w:line="240" w:lineRule="auto"/>
        <w:rPr>
          <w:rFonts w:ascii="Arial" w:hAnsi="Arial" w:cs="Arial"/>
          <w:sz w:val="20"/>
        </w:rPr>
      </w:pPr>
      <w:r w:rsidRPr="00EA6489">
        <w:rPr>
          <w:rFonts w:ascii="Arial" w:hAnsi="Arial" w:cs="Arial"/>
          <w:sz w:val="20"/>
        </w:rPr>
        <w:t>Dementsprechend verfügt der Erhebungsbogen über die Teile „</w:t>
      </w:r>
      <w:r w:rsidRPr="00EA6489">
        <w:rPr>
          <w:rFonts w:ascii="Arial" w:hAnsi="Arial" w:cs="Arial"/>
          <w:b/>
          <w:sz w:val="20"/>
        </w:rPr>
        <w:t>A.</w:t>
      </w:r>
      <w:r w:rsidRPr="00EA6489">
        <w:rPr>
          <w:rFonts w:ascii="Arial" w:hAnsi="Arial" w:cs="Arial"/>
          <w:sz w:val="20"/>
        </w:rPr>
        <w:t xml:space="preserve"> </w:t>
      </w:r>
      <w:r w:rsidRPr="00EA6489">
        <w:rPr>
          <w:rFonts w:ascii="Arial" w:hAnsi="Arial" w:cs="Arial"/>
          <w:b/>
          <w:sz w:val="20"/>
        </w:rPr>
        <w:t>Abklärung eines höheren Risikos</w:t>
      </w:r>
      <w:r w:rsidRPr="00EA6489">
        <w:rPr>
          <w:rFonts w:ascii="Arial" w:hAnsi="Arial" w:cs="Arial"/>
          <w:sz w:val="20"/>
        </w:rPr>
        <w:t>“, „</w:t>
      </w:r>
      <w:r w:rsidRPr="00EA6489">
        <w:rPr>
          <w:rFonts w:ascii="Arial" w:hAnsi="Arial" w:cs="Arial"/>
          <w:b/>
          <w:sz w:val="20"/>
        </w:rPr>
        <w:t>B.</w:t>
      </w:r>
      <w:r w:rsidRPr="00EA6489">
        <w:rPr>
          <w:rFonts w:ascii="Arial" w:hAnsi="Arial" w:cs="Arial"/>
          <w:sz w:val="20"/>
        </w:rPr>
        <w:t xml:space="preserve"> </w:t>
      </w:r>
      <w:r w:rsidRPr="00EA6489">
        <w:rPr>
          <w:rFonts w:ascii="Arial" w:hAnsi="Arial" w:cs="Arial"/>
          <w:b/>
          <w:sz w:val="20"/>
        </w:rPr>
        <w:t>Ermittlung der verstärkten Sorgfaltsmaßnahmen</w:t>
      </w:r>
      <w:r w:rsidRPr="00EA6489">
        <w:rPr>
          <w:rFonts w:ascii="Arial" w:hAnsi="Arial" w:cs="Arial"/>
          <w:sz w:val="20"/>
        </w:rPr>
        <w:t>“ und „</w:t>
      </w:r>
      <w:r w:rsidRPr="00EA6489">
        <w:rPr>
          <w:rFonts w:ascii="Arial" w:hAnsi="Arial" w:cs="Arial"/>
          <w:b/>
          <w:sz w:val="20"/>
        </w:rPr>
        <w:t>C. Überwachung der Umsetzung der verstärkten Sorgfaltsmaßnahmen</w:t>
      </w:r>
      <w:r w:rsidRPr="00EA6489">
        <w:rPr>
          <w:rFonts w:ascii="Arial" w:hAnsi="Arial" w:cs="Arial"/>
          <w:sz w:val="20"/>
        </w:rPr>
        <w:t xml:space="preserve">“. </w:t>
      </w:r>
    </w:p>
    <w:p w:rsidR="00EA6489" w:rsidRPr="00EA6489" w:rsidRDefault="00EA6489" w:rsidP="00EA6489">
      <w:pPr>
        <w:spacing w:after="0" w:line="240" w:lineRule="auto"/>
        <w:rPr>
          <w:rFonts w:ascii="Arial" w:hAnsi="Arial" w:cs="Arial"/>
          <w:sz w:val="20"/>
        </w:rPr>
      </w:pPr>
    </w:p>
    <w:p w:rsidR="00EA6489" w:rsidRPr="00EA6489" w:rsidRDefault="00EA6489" w:rsidP="00EA6489">
      <w:pPr>
        <w:spacing w:after="0" w:line="240" w:lineRule="auto"/>
        <w:ind w:left="567" w:hanging="567"/>
        <w:rPr>
          <w:rFonts w:ascii="Arial" w:hAnsi="Arial" w:cs="Arial"/>
          <w:sz w:val="20"/>
        </w:rPr>
      </w:pPr>
      <w:r w:rsidRPr="00EA6489">
        <w:rPr>
          <w:rFonts w:ascii="Arial" w:hAnsi="Arial" w:cs="Arial"/>
          <w:sz w:val="20"/>
        </w:rPr>
        <w:t xml:space="preserve">Der Erhebungsbogen dient auch der Dokumentationspflicht nach § 8 Abs. 1 GwG. </w:t>
      </w:r>
    </w:p>
    <w:p w:rsidR="00EA6489" w:rsidRDefault="00EA6489" w:rsidP="00EA6489">
      <w:pPr>
        <w:pStyle w:val="Listenabsatz"/>
        <w:spacing w:after="0" w:line="240" w:lineRule="auto"/>
        <w:ind w:left="567" w:hanging="567"/>
        <w:rPr>
          <w:rFonts w:ascii="Arial" w:hAnsi="Arial" w:cs="Arial"/>
        </w:rPr>
      </w:pPr>
    </w:p>
    <w:p w:rsidR="00EA6489" w:rsidRDefault="00EA6489" w:rsidP="00EA6489">
      <w:pPr>
        <w:rPr>
          <w:rFonts w:ascii="Arial" w:hAnsi="Arial" w:cs="Arial"/>
        </w:rPr>
      </w:pPr>
      <w:r>
        <w:rPr>
          <w:rFonts w:ascii="Arial" w:hAnsi="Arial" w:cs="Arial"/>
        </w:rPr>
        <w:br w:type="page"/>
      </w:r>
    </w:p>
    <w:p w:rsidR="00EA6489" w:rsidRPr="00EA6489" w:rsidRDefault="00EA6489" w:rsidP="00EA6489">
      <w:pPr>
        <w:pStyle w:val="Listenabsatz"/>
        <w:numPr>
          <w:ilvl w:val="0"/>
          <w:numId w:val="1"/>
        </w:numPr>
        <w:spacing w:after="0" w:line="240" w:lineRule="auto"/>
        <w:ind w:left="567" w:hanging="567"/>
        <w:rPr>
          <w:rFonts w:ascii="Arial" w:hAnsi="Arial" w:cs="Arial"/>
          <w:b/>
          <w:szCs w:val="24"/>
        </w:rPr>
      </w:pPr>
      <w:r w:rsidRPr="00EA6489">
        <w:rPr>
          <w:rFonts w:ascii="Arial" w:hAnsi="Arial" w:cs="Arial"/>
          <w:b/>
          <w:szCs w:val="24"/>
        </w:rPr>
        <w:lastRenderedPageBreak/>
        <w:t>Abklärung eines höheren Risikos</w:t>
      </w:r>
    </w:p>
    <w:p w:rsidR="00EA6489" w:rsidRPr="00747748" w:rsidRDefault="00EA6489" w:rsidP="00EA6489">
      <w:pPr>
        <w:pStyle w:val="Listenabsatz"/>
        <w:spacing w:after="0" w:line="240" w:lineRule="auto"/>
        <w:ind w:left="567" w:hanging="567"/>
        <w:rPr>
          <w:rFonts w:ascii="Arial" w:hAnsi="Arial" w:cs="Arial"/>
          <w:sz w:val="24"/>
          <w:szCs w:val="24"/>
        </w:rPr>
      </w:pPr>
    </w:p>
    <w:p w:rsidR="00EA6489" w:rsidRPr="00EA6489" w:rsidRDefault="00EA6489" w:rsidP="00EA6489">
      <w:pPr>
        <w:pStyle w:val="Listenabsatz"/>
        <w:spacing w:after="0" w:line="240" w:lineRule="auto"/>
        <w:ind w:left="567"/>
        <w:rPr>
          <w:rFonts w:ascii="Arial" w:hAnsi="Arial" w:cs="Arial"/>
          <w:sz w:val="20"/>
        </w:rPr>
      </w:pPr>
      <w:r w:rsidRPr="00EA6489">
        <w:rPr>
          <w:rFonts w:ascii="Arial" w:hAnsi="Arial" w:cs="Arial"/>
          <w:sz w:val="20"/>
        </w:rPr>
        <w:t>Das für jede Mandatsbeziehung abzuklärende höhere Geldwäscherisiko kann sich bereits aus der Risikoanalyse nach § 5 GwG für die Kanzlei ergeben, da in ihr regelmäßig typische Mandatsbeziehungen risikomäßig eingestuft werden. Sofern die Risikoanalyse für die Kanzlei für die betreffende Mandatsbeziehung noch zu keinem höheren Risiko führt, kann sich aber auch im Rahmen der obligatorischen Einzelprüfung der betreffenden Mandatsbeziehung ein höheres Risiko der Geldwäsche herausstellen.</w:t>
      </w:r>
    </w:p>
    <w:p w:rsidR="00EA6489" w:rsidRPr="00EA6489" w:rsidRDefault="00EA6489" w:rsidP="00EA6489">
      <w:pPr>
        <w:pStyle w:val="Listenabsatz"/>
        <w:spacing w:after="0" w:line="240" w:lineRule="auto"/>
        <w:ind w:left="567"/>
        <w:rPr>
          <w:rFonts w:ascii="Arial" w:hAnsi="Arial" w:cs="Arial"/>
          <w:sz w:val="20"/>
        </w:rPr>
      </w:pPr>
    </w:p>
    <w:p w:rsidR="00EA6489" w:rsidRPr="00EA6489" w:rsidRDefault="00EA6489" w:rsidP="00EA6489">
      <w:pPr>
        <w:spacing w:after="0" w:line="240" w:lineRule="auto"/>
        <w:ind w:left="567"/>
        <w:rPr>
          <w:rFonts w:ascii="Arial" w:hAnsi="Arial" w:cs="Arial"/>
          <w:sz w:val="20"/>
        </w:rPr>
      </w:pPr>
      <w:r w:rsidRPr="00EA6489">
        <w:rPr>
          <w:rFonts w:ascii="Arial" w:hAnsi="Arial" w:cs="Arial"/>
          <w:sz w:val="20"/>
        </w:rPr>
        <w:t>Das GwG sieht in seinem § 15 Abs. 3 mehrere typisierte Fälle eines höheren Risikos vor, die auch nebeneinander gegeben sein können (</w:t>
      </w:r>
      <w:r w:rsidRPr="00EA6489">
        <w:rPr>
          <w:rFonts w:ascii="Arial" w:hAnsi="Arial" w:cs="Arial"/>
          <w:b/>
          <w:sz w:val="20"/>
        </w:rPr>
        <w:t>nachfolgend Ziffer 1.</w:t>
      </w:r>
      <w:r w:rsidRPr="00EA6489">
        <w:rPr>
          <w:rFonts w:ascii="Arial" w:hAnsi="Arial" w:cs="Arial"/>
          <w:sz w:val="20"/>
        </w:rPr>
        <w:t xml:space="preserve">). </w:t>
      </w:r>
    </w:p>
    <w:p w:rsidR="00EA6489" w:rsidRPr="00EA6489" w:rsidRDefault="00EA6489" w:rsidP="00EA6489">
      <w:pPr>
        <w:spacing w:after="0" w:line="240" w:lineRule="auto"/>
        <w:ind w:left="567"/>
        <w:rPr>
          <w:rFonts w:ascii="Arial" w:hAnsi="Arial" w:cs="Arial"/>
          <w:sz w:val="20"/>
        </w:rPr>
      </w:pPr>
    </w:p>
    <w:p w:rsidR="00EA6489" w:rsidRPr="00EA6489" w:rsidRDefault="00EA6489" w:rsidP="00EA6489">
      <w:pPr>
        <w:spacing w:after="0" w:line="240" w:lineRule="auto"/>
        <w:ind w:left="567"/>
        <w:rPr>
          <w:rFonts w:ascii="Arial" w:hAnsi="Arial" w:cs="Arial"/>
          <w:sz w:val="20"/>
        </w:rPr>
      </w:pPr>
      <w:r w:rsidRPr="00EA6489">
        <w:rPr>
          <w:rFonts w:ascii="Arial" w:hAnsi="Arial" w:cs="Arial"/>
          <w:sz w:val="20"/>
        </w:rPr>
        <w:t>Daneben kann sich ein höheres Risiko ferner aus der Regelung des § 15 Abs. 2 GwG in Verbindung mit den Anlagen 1 und 2 zum GwG ergeben (</w:t>
      </w:r>
      <w:r w:rsidRPr="00EA6489">
        <w:rPr>
          <w:rFonts w:ascii="Arial" w:hAnsi="Arial" w:cs="Arial"/>
          <w:b/>
          <w:sz w:val="20"/>
        </w:rPr>
        <w:t>nachfolgend Ziffer 2</w:t>
      </w:r>
      <w:r w:rsidRPr="00EA6489">
        <w:rPr>
          <w:rFonts w:ascii="Arial" w:hAnsi="Arial" w:cs="Arial"/>
          <w:sz w:val="20"/>
        </w:rPr>
        <w:t>).</w:t>
      </w:r>
    </w:p>
    <w:p w:rsidR="00EA6489" w:rsidRPr="00EA6489" w:rsidRDefault="00EA6489" w:rsidP="00EA6489">
      <w:pPr>
        <w:spacing w:after="0" w:line="240" w:lineRule="auto"/>
        <w:ind w:left="567"/>
        <w:rPr>
          <w:rFonts w:ascii="Arial" w:hAnsi="Arial" w:cs="Arial"/>
          <w:sz w:val="20"/>
        </w:rPr>
      </w:pPr>
    </w:p>
    <w:p w:rsidR="00EA6489" w:rsidRPr="00EA6489" w:rsidRDefault="00EA6489" w:rsidP="00EA6489">
      <w:pPr>
        <w:spacing w:after="0" w:line="240" w:lineRule="auto"/>
        <w:ind w:left="567"/>
        <w:rPr>
          <w:rFonts w:ascii="Arial" w:hAnsi="Arial" w:cs="Arial"/>
          <w:sz w:val="20"/>
        </w:rPr>
      </w:pPr>
      <w:r w:rsidRPr="00EA6489">
        <w:rPr>
          <w:rFonts w:ascii="Arial" w:hAnsi="Arial" w:cs="Arial"/>
          <w:sz w:val="20"/>
        </w:rPr>
        <w:t>Schließlich wird für Dokumentationszwecke abgefragt, wenn kein höheres Risiko der Geldwäsche ermittelt wurde (</w:t>
      </w:r>
      <w:r w:rsidRPr="00EA6489">
        <w:rPr>
          <w:rFonts w:ascii="Arial" w:hAnsi="Arial" w:cs="Arial"/>
          <w:b/>
          <w:sz w:val="20"/>
        </w:rPr>
        <w:t>nachfolgend Ziffer 3.</w:t>
      </w:r>
      <w:r w:rsidRPr="00EA6489">
        <w:rPr>
          <w:rFonts w:ascii="Arial" w:hAnsi="Arial" w:cs="Arial"/>
          <w:sz w:val="20"/>
        </w:rPr>
        <w:t>)</w:t>
      </w:r>
    </w:p>
    <w:p w:rsidR="00EA6489" w:rsidRPr="00EA6489" w:rsidRDefault="00EA6489" w:rsidP="00EA6489">
      <w:pPr>
        <w:pStyle w:val="Listenabsatz"/>
        <w:spacing w:after="0" w:line="240" w:lineRule="auto"/>
        <w:ind w:left="567"/>
        <w:rPr>
          <w:rFonts w:ascii="Arial" w:hAnsi="Arial" w:cs="Arial"/>
          <w:sz w:val="20"/>
        </w:rPr>
      </w:pPr>
    </w:p>
    <w:p w:rsidR="00EA6489" w:rsidRPr="00EA6489" w:rsidRDefault="00EA6489" w:rsidP="00EA6489">
      <w:pPr>
        <w:pStyle w:val="Listenabsatz"/>
        <w:numPr>
          <w:ilvl w:val="0"/>
          <w:numId w:val="2"/>
        </w:numPr>
        <w:spacing w:after="0" w:line="240" w:lineRule="auto"/>
        <w:rPr>
          <w:rFonts w:ascii="Arial" w:hAnsi="Arial" w:cs="Arial"/>
          <w:sz w:val="20"/>
        </w:rPr>
      </w:pPr>
      <w:r w:rsidRPr="00EA6489">
        <w:rPr>
          <w:rFonts w:ascii="Arial" w:hAnsi="Arial" w:cs="Arial"/>
          <w:sz w:val="20"/>
        </w:rPr>
        <w:t>Die Mandatsbeziehung erfüllt einen oder mehrere der folgenden, in § 15 Abs. 3 GwG normierten typisierten Fälle für ein höheres Risiko der Geldwäsche:</w:t>
      </w:r>
    </w:p>
    <w:p w:rsidR="00EA6489" w:rsidRPr="00EA6489" w:rsidRDefault="00EA6489" w:rsidP="00EA6489">
      <w:pPr>
        <w:pStyle w:val="Listenabsatz"/>
        <w:spacing w:after="0" w:line="240" w:lineRule="auto"/>
        <w:ind w:left="1140"/>
        <w:rPr>
          <w:rFonts w:ascii="Arial" w:hAnsi="Arial" w:cs="Arial"/>
          <w:sz w:val="20"/>
        </w:rPr>
      </w:pPr>
    </w:p>
    <w:p w:rsidR="00EA6489" w:rsidRDefault="00EA6489" w:rsidP="00EA6489">
      <w:pPr>
        <w:pStyle w:val="Listenabsatz"/>
        <w:numPr>
          <w:ilvl w:val="0"/>
          <w:numId w:val="3"/>
        </w:numPr>
        <w:spacing w:after="0" w:line="240" w:lineRule="auto"/>
        <w:rPr>
          <w:rFonts w:ascii="Arial" w:hAnsi="Arial" w:cs="Arial"/>
          <w:sz w:val="20"/>
        </w:rPr>
      </w:pPr>
      <w:r w:rsidRPr="00EA6489">
        <w:rPr>
          <w:rFonts w:ascii="Arial" w:hAnsi="Arial" w:cs="Arial"/>
          <w:sz w:val="20"/>
        </w:rPr>
        <w:t xml:space="preserve">Nr. 1: Der </w:t>
      </w:r>
      <w:r w:rsidRPr="00EA6489">
        <w:rPr>
          <w:rFonts w:ascii="Arial" w:hAnsi="Arial" w:cs="Arial"/>
          <w:sz w:val="20"/>
        </w:rPr>
        <w:fldChar w:fldCharType="begin">
          <w:ffData>
            <w:name w:val="Kontrollkästchen12"/>
            <w:enabled/>
            <w:calcOnExit w:val="0"/>
            <w:checkBox>
              <w:sizeAuto/>
              <w:default w:val="0"/>
            </w:checkBox>
          </w:ffData>
        </w:fldChar>
      </w:r>
      <w:r w:rsidRPr="00EA6489">
        <w:rPr>
          <w:rFonts w:ascii="Arial" w:hAnsi="Arial" w:cs="Arial"/>
          <w:sz w:val="20"/>
        </w:rPr>
        <w:instrText xml:space="preserve"> FORMCHECKBOX </w:instrText>
      </w:r>
      <w:r w:rsidRPr="00EA6489">
        <w:rPr>
          <w:rFonts w:ascii="Arial" w:hAnsi="Arial" w:cs="Arial"/>
          <w:sz w:val="20"/>
        </w:rPr>
      </w:r>
      <w:r w:rsidRPr="00EA6489">
        <w:rPr>
          <w:rFonts w:ascii="Arial" w:hAnsi="Arial" w:cs="Arial"/>
          <w:sz w:val="20"/>
        </w:rPr>
        <w:fldChar w:fldCharType="separate"/>
      </w:r>
      <w:r w:rsidRPr="00EA6489">
        <w:rPr>
          <w:rFonts w:ascii="Arial" w:hAnsi="Arial" w:cs="Arial"/>
          <w:sz w:val="20"/>
        </w:rPr>
        <w:fldChar w:fldCharType="end"/>
      </w:r>
      <w:r w:rsidRPr="00EA6489">
        <w:rPr>
          <w:rFonts w:ascii="Arial" w:hAnsi="Arial" w:cs="Arial"/>
          <w:sz w:val="20"/>
        </w:rPr>
        <w:t xml:space="preserve"> Mandant bzw. der </w:t>
      </w:r>
      <w:r w:rsidRPr="00EA6489">
        <w:rPr>
          <w:rFonts w:ascii="Arial" w:hAnsi="Arial" w:cs="Arial"/>
          <w:sz w:val="20"/>
        </w:rPr>
        <w:fldChar w:fldCharType="begin">
          <w:ffData>
            <w:name w:val="Kontrollkästchen12"/>
            <w:enabled/>
            <w:calcOnExit w:val="0"/>
            <w:checkBox>
              <w:sizeAuto/>
              <w:default w:val="0"/>
            </w:checkBox>
          </w:ffData>
        </w:fldChar>
      </w:r>
      <w:r w:rsidRPr="00EA6489">
        <w:rPr>
          <w:rFonts w:ascii="Arial" w:hAnsi="Arial" w:cs="Arial"/>
          <w:sz w:val="20"/>
        </w:rPr>
        <w:instrText xml:space="preserve"> FORMCHECKBOX </w:instrText>
      </w:r>
      <w:r w:rsidRPr="00EA6489">
        <w:rPr>
          <w:rFonts w:ascii="Arial" w:hAnsi="Arial" w:cs="Arial"/>
          <w:sz w:val="20"/>
        </w:rPr>
      </w:r>
      <w:r w:rsidRPr="00EA6489">
        <w:rPr>
          <w:rFonts w:ascii="Arial" w:hAnsi="Arial" w:cs="Arial"/>
          <w:sz w:val="20"/>
        </w:rPr>
        <w:fldChar w:fldCharType="separate"/>
      </w:r>
      <w:r w:rsidRPr="00EA6489">
        <w:rPr>
          <w:rFonts w:ascii="Arial" w:hAnsi="Arial" w:cs="Arial"/>
          <w:sz w:val="20"/>
        </w:rPr>
        <w:fldChar w:fldCharType="end"/>
      </w:r>
      <w:r w:rsidRPr="00EA6489">
        <w:rPr>
          <w:rFonts w:ascii="Arial" w:hAnsi="Arial" w:cs="Arial"/>
          <w:sz w:val="20"/>
        </w:rPr>
        <w:t xml:space="preserve"> wirtschaftlich Berechtigte ist eine </w:t>
      </w:r>
      <w:r w:rsidRPr="00EA6489">
        <w:rPr>
          <w:rFonts w:ascii="Arial" w:hAnsi="Arial" w:cs="Arial"/>
          <w:b/>
          <w:sz w:val="20"/>
        </w:rPr>
        <w:t>politisch exponierte Person (PEP</w:t>
      </w:r>
      <w:r w:rsidRPr="00EA6489">
        <w:rPr>
          <w:rStyle w:val="Funotenzeichen"/>
          <w:rFonts w:ascii="Arial" w:hAnsi="Arial" w:cs="Arial"/>
          <w:b/>
          <w:sz w:val="20"/>
        </w:rPr>
        <w:footnoteReference w:id="4"/>
      </w:r>
      <w:r w:rsidRPr="00EA6489">
        <w:rPr>
          <w:rFonts w:ascii="Arial" w:hAnsi="Arial" w:cs="Arial"/>
          <w:b/>
          <w:sz w:val="20"/>
        </w:rPr>
        <w:t>)</w:t>
      </w:r>
      <w:r w:rsidRPr="00EA6489">
        <w:rPr>
          <w:rFonts w:ascii="Arial" w:hAnsi="Arial" w:cs="Arial"/>
          <w:sz w:val="20"/>
        </w:rPr>
        <w:t>, ein Familienmitglied dieser Person oder eine ihr bekanntermaßen nahestehende Person</w:t>
      </w:r>
      <w:r w:rsidRPr="00EA6489">
        <w:rPr>
          <w:rFonts w:ascii="Arial" w:hAnsi="Arial" w:cs="Arial"/>
          <w:sz w:val="20"/>
        </w:rPr>
        <w:br/>
        <w:t>Genaue Bezeichnung des Amtes bzw. Funktion:</w:t>
      </w:r>
    </w:p>
    <w:p w:rsidR="00EA6489" w:rsidRDefault="00EA6489" w:rsidP="00EA6489">
      <w:pPr>
        <w:pStyle w:val="Listenabsatz"/>
        <w:spacing w:after="0" w:line="240" w:lineRule="auto"/>
        <w:ind w:left="1571"/>
        <w:rPr>
          <w:rFonts w:ascii="Arial" w:hAnsi="Arial" w:cs="Arial"/>
          <w:sz w:val="20"/>
        </w:rPr>
      </w:pPr>
      <w:r w:rsidRPr="00EA6489">
        <w:rPr>
          <w:rFonts w:ascii="Arial" w:hAnsi="Arial" w:cs="Arial"/>
          <w:sz w:val="20"/>
        </w:rPr>
        <w:br/>
        <w:t>____________________________________________________________</w:t>
      </w:r>
      <w:r w:rsidRPr="00EA6489">
        <w:rPr>
          <w:rFonts w:ascii="Arial" w:hAnsi="Arial" w:cs="Arial"/>
          <w:sz w:val="20"/>
        </w:rPr>
        <w:br/>
      </w:r>
      <w:r w:rsidRPr="00EA6489">
        <w:rPr>
          <w:rFonts w:ascii="Arial" w:hAnsi="Arial" w:cs="Arial"/>
          <w:sz w:val="20"/>
        </w:rPr>
        <w:br/>
        <w:t>____________________________________________________________</w:t>
      </w:r>
      <w:r w:rsidRPr="00EA6489">
        <w:rPr>
          <w:rFonts w:ascii="Arial" w:hAnsi="Arial" w:cs="Arial"/>
          <w:sz w:val="20"/>
        </w:rPr>
        <w:br/>
      </w:r>
    </w:p>
    <w:p w:rsidR="00EA6489" w:rsidRPr="00EA6489" w:rsidRDefault="00EA6489" w:rsidP="00EA6489">
      <w:pPr>
        <w:pStyle w:val="Listenabsatz"/>
        <w:spacing w:after="0" w:line="240" w:lineRule="auto"/>
        <w:ind w:left="1571"/>
        <w:rPr>
          <w:rFonts w:ascii="Arial" w:hAnsi="Arial" w:cs="Arial"/>
          <w:sz w:val="20"/>
        </w:rPr>
      </w:pPr>
    </w:p>
    <w:p w:rsidR="00EA6489" w:rsidRDefault="00EA6489" w:rsidP="00EA6489">
      <w:pPr>
        <w:pStyle w:val="Listenabsatz"/>
        <w:numPr>
          <w:ilvl w:val="0"/>
          <w:numId w:val="3"/>
        </w:numPr>
        <w:spacing w:after="0" w:line="240" w:lineRule="auto"/>
        <w:rPr>
          <w:rFonts w:ascii="Arial" w:hAnsi="Arial" w:cs="Arial"/>
          <w:sz w:val="20"/>
        </w:rPr>
      </w:pPr>
      <w:r w:rsidRPr="00EA6489">
        <w:rPr>
          <w:rFonts w:ascii="Arial" w:hAnsi="Arial" w:cs="Arial"/>
          <w:sz w:val="20"/>
        </w:rPr>
        <w:t xml:space="preserve">Nr. 2: An dem Mandat ist </w:t>
      </w:r>
      <w:r w:rsidRPr="00EA6489">
        <w:rPr>
          <w:rFonts w:ascii="Arial" w:hAnsi="Arial" w:cs="Arial"/>
          <w:sz w:val="20"/>
        </w:rPr>
        <w:fldChar w:fldCharType="begin">
          <w:ffData>
            <w:name w:val="Kontrollkästchen12"/>
            <w:enabled/>
            <w:calcOnExit w:val="0"/>
            <w:checkBox>
              <w:sizeAuto/>
              <w:default w:val="0"/>
            </w:checkBox>
          </w:ffData>
        </w:fldChar>
      </w:r>
      <w:r w:rsidRPr="00EA6489">
        <w:rPr>
          <w:rFonts w:ascii="Arial" w:hAnsi="Arial" w:cs="Arial"/>
          <w:sz w:val="20"/>
        </w:rPr>
        <w:instrText xml:space="preserve"> FORMCHECKBOX </w:instrText>
      </w:r>
      <w:r w:rsidRPr="00EA6489">
        <w:rPr>
          <w:rFonts w:ascii="Arial" w:hAnsi="Arial" w:cs="Arial"/>
          <w:sz w:val="20"/>
        </w:rPr>
      </w:r>
      <w:r w:rsidRPr="00EA6489">
        <w:rPr>
          <w:rFonts w:ascii="Arial" w:hAnsi="Arial" w:cs="Arial"/>
          <w:sz w:val="20"/>
        </w:rPr>
        <w:fldChar w:fldCharType="separate"/>
      </w:r>
      <w:r w:rsidRPr="00EA6489">
        <w:rPr>
          <w:rFonts w:ascii="Arial" w:hAnsi="Arial" w:cs="Arial"/>
          <w:sz w:val="20"/>
        </w:rPr>
        <w:fldChar w:fldCharType="end"/>
      </w:r>
      <w:r w:rsidRPr="00EA6489">
        <w:rPr>
          <w:rFonts w:ascii="Arial" w:hAnsi="Arial" w:cs="Arial"/>
          <w:sz w:val="20"/>
        </w:rPr>
        <w:t xml:space="preserve"> ein von der EU-Kommission ermittelter </w:t>
      </w:r>
      <w:r w:rsidRPr="00EA6489">
        <w:rPr>
          <w:rFonts w:ascii="Arial" w:hAnsi="Arial" w:cs="Arial"/>
          <w:b/>
          <w:sz w:val="20"/>
        </w:rPr>
        <w:t>Drittstaat</w:t>
      </w:r>
      <w:r w:rsidRPr="00EA6489">
        <w:rPr>
          <w:rFonts w:ascii="Arial" w:hAnsi="Arial" w:cs="Arial"/>
          <w:sz w:val="20"/>
        </w:rPr>
        <w:t xml:space="preserve"> mit hohem Risiko oder eine in einem solchen Staat ansässige </w:t>
      </w:r>
      <w:r w:rsidRPr="00EA6489">
        <w:rPr>
          <w:rFonts w:ascii="Arial" w:hAnsi="Arial" w:cs="Arial"/>
          <w:sz w:val="20"/>
        </w:rPr>
        <w:fldChar w:fldCharType="begin">
          <w:ffData>
            <w:name w:val="Kontrollkästchen12"/>
            <w:enabled/>
            <w:calcOnExit w:val="0"/>
            <w:checkBox>
              <w:sizeAuto/>
              <w:default w:val="0"/>
            </w:checkBox>
          </w:ffData>
        </w:fldChar>
      </w:r>
      <w:r w:rsidRPr="00EA6489">
        <w:rPr>
          <w:rFonts w:ascii="Arial" w:hAnsi="Arial" w:cs="Arial"/>
          <w:sz w:val="20"/>
        </w:rPr>
        <w:instrText xml:space="preserve"> FORMCHECKBOX </w:instrText>
      </w:r>
      <w:r w:rsidRPr="00EA6489">
        <w:rPr>
          <w:rFonts w:ascii="Arial" w:hAnsi="Arial" w:cs="Arial"/>
          <w:sz w:val="20"/>
        </w:rPr>
      </w:r>
      <w:r w:rsidRPr="00EA6489">
        <w:rPr>
          <w:rFonts w:ascii="Arial" w:hAnsi="Arial" w:cs="Arial"/>
          <w:sz w:val="20"/>
        </w:rPr>
        <w:fldChar w:fldCharType="separate"/>
      </w:r>
      <w:r w:rsidRPr="00EA6489">
        <w:rPr>
          <w:rFonts w:ascii="Arial" w:hAnsi="Arial" w:cs="Arial"/>
          <w:sz w:val="20"/>
        </w:rPr>
        <w:fldChar w:fldCharType="end"/>
      </w:r>
      <w:r w:rsidRPr="00EA6489">
        <w:rPr>
          <w:rFonts w:ascii="Arial" w:hAnsi="Arial" w:cs="Arial"/>
          <w:sz w:val="20"/>
        </w:rPr>
        <w:t xml:space="preserve"> natürliche oder </w:t>
      </w:r>
      <w:r w:rsidRPr="00EA6489">
        <w:rPr>
          <w:rFonts w:ascii="Arial" w:hAnsi="Arial" w:cs="Arial"/>
          <w:sz w:val="20"/>
        </w:rPr>
        <w:fldChar w:fldCharType="begin">
          <w:ffData>
            <w:name w:val="Kontrollkästchen12"/>
            <w:enabled/>
            <w:calcOnExit w:val="0"/>
            <w:checkBox>
              <w:sizeAuto/>
              <w:default w:val="0"/>
            </w:checkBox>
          </w:ffData>
        </w:fldChar>
      </w:r>
      <w:r w:rsidRPr="00EA6489">
        <w:rPr>
          <w:rFonts w:ascii="Arial" w:hAnsi="Arial" w:cs="Arial"/>
          <w:sz w:val="20"/>
        </w:rPr>
        <w:instrText xml:space="preserve"> FORMCHECKBOX </w:instrText>
      </w:r>
      <w:r w:rsidRPr="00EA6489">
        <w:rPr>
          <w:rFonts w:ascii="Arial" w:hAnsi="Arial" w:cs="Arial"/>
          <w:sz w:val="20"/>
        </w:rPr>
      </w:r>
      <w:r w:rsidRPr="00EA6489">
        <w:rPr>
          <w:rFonts w:ascii="Arial" w:hAnsi="Arial" w:cs="Arial"/>
          <w:sz w:val="20"/>
        </w:rPr>
        <w:fldChar w:fldCharType="separate"/>
      </w:r>
      <w:r w:rsidRPr="00EA6489">
        <w:rPr>
          <w:rFonts w:ascii="Arial" w:hAnsi="Arial" w:cs="Arial"/>
          <w:sz w:val="20"/>
        </w:rPr>
        <w:fldChar w:fldCharType="end"/>
      </w:r>
      <w:r w:rsidRPr="00EA6489">
        <w:rPr>
          <w:rFonts w:ascii="Arial" w:hAnsi="Arial" w:cs="Arial"/>
          <w:sz w:val="20"/>
        </w:rPr>
        <w:t xml:space="preserve"> juristische Person beteiligt Bezeichnung des Drittlandes und der Beziehung dazu:</w:t>
      </w:r>
    </w:p>
    <w:p w:rsidR="00EA6489" w:rsidRDefault="00EA6489" w:rsidP="00EA6489">
      <w:pPr>
        <w:pStyle w:val="Listenabsatz"/>
        <w:spacing w:after="0" w:line="240" w:lineRule="auto"/>
        <w:ind w:left="1571"/>
        <w:rPr>
          <w:rFonts w:ascii="Arial" w:hAnsi="Arial" w:cs="Arial"/>
          <w:sz w:val="20"/>
        </w:rPr>
      </w:pPr>
      <w:r w:rsidRPr="00EA6489">
        <w:rPr>
          <w:rFonts w:ascii="Arial" w:hAnsi="Arial" w:cs="Arial"/>
          <w:sz w:val="20"/>
        </w:rPr>
        <w:br/>
        <w:t>____________________________________________________________</w:t>
      </w:r>
      <w:r w:rsidRPr="00EA6489">
        <w:rPr>
          <w:rFonts w:ascii="Arial" w:hAnsi="Arial" w:cs="Arial"/>
          <w:sz w:val="20"/>
        </w:rPr>
        <w:br/>
      </w:r>
      <w:r w:rsidRPr="00EA6489">
        <w:rPr>
          <w:rFonts w:ascii="Arial" w:hAnsi="Arial" w:cs="Arial"/>
          <w:sz w:val="20"/>
        </w:rPr>
        <w:br/>
        <w:t>____________________________________________________________</w:t>
      </w:r>
      <w:r w:rsidRPr="00EA6489">
        <w:rPr>
          <w:rFonts w:ascii="Arial" w:hAnsi="Arial" w:cs="Arial"/>
          <w:sz w:val="20"/>
        </w:rPr>
        <w:br/>
      </w:r>
    </w:p>
    <w:p w:rsidR="00EA6489" w:rsidRPr="00EA6489" w:rsidRDefault="00EA6489" w:rsidP="00EA6489">
      <w:pPr>
        <w:pStyle w:val="Listenabsatz"/>
        <w:spacing w:after="0" w:line="240" w:lineRule="auto"/>
        <w:ind w:left="1571"/>
        <w:rPr>
          <w:rFonts w:ascii="Arial" w:hAnsi="Arial" w:cs="Arial"/>
          <w:sz w:val="20"/>
        </w:rPr>
      </w:pPr>
    </w:p>
    <w:p w:rsidR="00EA6489" w:rsidRPr="00EA6489" w:rsidRDefault="00EA6489" w:rsidP="00EA6489">
      <w:pPr>
        <w:pStyle w:val="Listenabsatz"/>
        <w:numPr>
          <w:ilvl w:val="0"/>
          <w:numId w:val="3"/>
        </w:numPr>
        <w:spacing w:after="0" w:line="240" w:lineRule="auto"/>
        <w:rPr>
          <w:rFonts w:ascii="Arial" w:hAnsi="Arial" w:cs="Arial"/>
          <w:sz w:val="20"/>
        </w:rPr>
      </w:pPr>
      <w:r w:rsidRPr="00EA6489">
        <w:rPr>
          <w:rFonts w:ascii="Arial" w:hAnsi="Arial" w:cs="Arial"/>
          <w:sz w:val="20"/>
        </w:rPr>
        <w:t>Nr. 3: Es handelt sich um ein Einzelmandat, das im Verhältnis zu vergleichbaren Fällen:</w:t>
      </w:r>
    </w:p>
    <w:p w:rsidR="00EA6489" w:rsidRPr="00EA6489" w:rsidRDefault="00EA6489" w:rsidP="00EA6489">
      <w:pPr>
        <w:pStyle w:val="Listenabsatz"/>
        <w:tabs>
          <w:tab w:val="left" w:pos="2127"/>
        </w:tabs>
        <w:spacing w:after="60" w:line="240" w:lineRule="auto"/>
        <w:ind w:left="1571"/>
        <w:rPr>
          <w:rFonts w:ascii="Arial" w:hAnsi="Arial" w:cs="Arial"/>
          <w:sz w:val="20"/>
        </w:rPr>
      </w:pPr>
      <w:r w:rsidRPr="00EA6489">
        <w:rPr>
          <w:rFonts w:ascii="Arial" w:hAnsi="Arial" w:cs="Arial"/>
          <w:sz w:val="20"/>
        </w:rPr>
        <w:fldChar w:fldCharType="begin">
          <w:ffData>
            <w:name w:val="Kontrollkästchen12"/>
            <w:enabled/>
            <w:calcOnExit w:val="0"/>
            <w:checkBox>
              <w:sizeAuto/>
              <w:default w:val="0"/>
            </w:checkBox>
          </w:ffData>
        </w:fldChar>
      </w:r>
      <w:r w:rsidRPr="00EA6489">
        <w:rPr>
          <w:rFonts w:ascii="Arial" w:hAnsi="Arial" w:cs="Arial"/>
          <w:sz w:val="20"/>
        </w:rPr>
        <w:instrText xml:space="preserve"> FORMCHECKBOX </w:instrText>
      </w:r>
      <w:r w:rsidRPr="00EA6489">
        <w:rPr>
          <w:rFonts w:ascii="Arial" w:hAnsi="Arial" w:cs="Arial"/>
          <w:sz w:val="20"/>
        </w:rPr>
      </w:r>
      <w:r w:rsidRPr="00EA6489">
        <w:rPr>
          <w:rFonts w:ascii="Arial" w:hAnsi="Arial" w:cs="Arial"/>
          <w:sz w:val="20"/>
        </w:rPr>
        <w:fldChar w:fldCharType="separate"/>
      </w:r>
      <w:r w:rsidRPr="00EA6489">
        <w:rPr>
          <w:rFonts w:ascii="Arial" w:hAnsi="Arial" w:cs="Arial"/>
          <w:sz w:val="20"/>
        </w:rPr>
        <w:fldChar w:fldCharType="end"/>
      </w:r>
      <w:r w:rsidRPr="00EA6489">
        <w:rPr>
          <w:rFonts w:ascii="Arial" w:hAnsi="Arial" w:cs="Arial"/>
          <w:sz w:val="20"/>
        </w:rPr>
        <w:tab/>
        <w:t>besonders komplex oder ungewöhnlich groß ist.</w:t>
      </w:r>
    </w:p>
    <w:p w:rsidR="00EA6489" w:rsidRPr="00EA6489" w:rsidRDefault="00EA6489" w:rsidP="00EA6489">
      <w:pPr>
        <w:pStyle w:val="Listenabsatz"/>
        <w:tabs>
          <w:tab w:val="left" w:pos="2127"/>
        </w:tabs>
        <w:spacing w:after="60" w:line="240" w:lineRule="auto"/>
        <w:ind w:left="1571"/>
        <w:rPr>
          <w:rFonts w:ascii="Arial" w:hAnsi="Arial" w:cs="Arial"/>
          <w:sz w:val="20"/>
        </w:rPr>
      </w:pPr>
      <w:r w:rsidRPr="00EA6489">
        <w:rPr>
          <w:rFonts w:ascii="Arial" w:hAnsi="Arial" w:cs="Arial"/>
          <w:sz w:val="20"/>
        </w:rPr>
        <w:fldChar w:fldCharType="begin">
          <w:ffData>
            <w:name w:val="Kontrollkästchen12"/>
            <w:enabled/>
            <w:calcOnExit w:val="0"/>
            <w:checkBox>
              <w:sizeAuto/>
              <w:default w:val="0"/>
            </w:checkBox>
          </w:ffData>
        </w:fldChar>
      </w:r>
      <w:r w:rsidRPr="00EA6489">
        <w:rPr>
          <w:rFonts w:ascii="Arial" w:hAnsi="Arial" w:cs="Arial"/>
          <w:sz w:val="20"/>
        </w:rPr>
        <w:instrText xml:space="preserve"> FORMCHECKBOX </w:instrText>
      </w:r>
      <w:r w:rsidRPr="00EA6489">
        <w:rPr>
          <w:rFonts w:ascii="Arial" w:hAnsi="Arial" w:cs="Arial"/>
          <w:sz w:val="20"/>
        </w:rPr>
      </w:r>
      <w:r w:rsidRPr="00EA6489">
        <w:rPr>
          <w:rFonts w:ascii="Arial" w:hAnsi="Arial" w:cs="Arial"/>
          <w:sz w:val="20"/>
        </w:rPr>
        <w:fldChar w:fldCharType="separate"/>
      </w:r>
      <w:r w:rsidRPr="00EA6489">
        <w:rPr>
          <w:rFonts w:ascii="Arial" w:hAnsi="Arial" w:cs="Arial"/>
          <w:sz w:val="20"/>
        </w:rPr>
        <w:fldChar w:fldCharType="end"/>
      </w:r>
      <w:r w:rsidRPr="00EA6489">
        <w:rPr>
          <w:rFonts w:ascii="Arial" w:hAnsi="Arial" w:cs="Arial"/>
          <w:sz w:val="20"/>
        </w:rPr>
        <w:tab/>
        <w:t>einem ungewöhnlichen Mandatsmuster folgt.</w:t>
      </w:r>
    </w:p>
    <w:p w:rsidR="00EA6489" w:rsidRPr="00EA6489" w:rsidRDefault="00EA6489" w:rsidP="00EA6489">
      <w:pPr>
        <w:pStyle w:val="Listenabsatz"/>
        <w:tabs>
          <w:tab w:val="left" w:pos="2127"/>
        </w:tabs>
        <w:spacing w:after="60" w:line="240" w:lineRule="auto"/>
        <w:ind w:left="1571"/>
        <w:rPr>
          <w:rFonts w:ascii="Arial" w:hAnsi="Arial" w:cs="Arial"/>
          <w:sz w:val="20"/>
        </w:rPr>
      </w:pPr>
      <w:r w:rsidRPr="00EA6489">
        <w:rPr>
          <w:rFonts w:ascii="Arial" w:hAnsi="Arial" w:cs="Arial"/>
          <w:sz w:val="20"/>
        </w:rPr>
        <w:fldChar w:fldCharType="begin">
          <w:ffData>
            <w:name w:val="Kontrollkästchen12"/>
            <w:enabled/>
            <w:calcOnExit w:val="0"/>
            <w:checkBox>
              <w:sizeAuto/>
              <w:default w:val="0"/>
            </w:checkBox>
          </w:ffData>
        </w:fldChar>
      </w:r>
      <w:r w:rsidRPr="00EA6489">
        <w:rPr>
          <w:rFonts w:ascii="Arial" w:hAnsi="Arial" w:cs="Arial"/>
          <w:sz w:val="20"/>
        </w:rPr>
        <w:instrText xml:space="preserve"> FORMCHECKBOX </w:instrText>
      </w:r>
      <w:r w:rsidRPr="00EA6489">
        <w:rPr>
          <w:rFonts w:ascii="Arial" w:hAnsi="Arial" w:cs="Arial"/>
          <w:sz w:val="20"/>
        </w:rPr>
      </w:r>
      <w:r w:rsidRPr="00EA6489">
        <w:rPr>
          <w:rFonts w:ascii="Arial" w:hAnsi="Arial" w:cs="Arial"/>
          <w:sz w:val="20"/>
        </w:rPr>
        <w:fldChar w:fldCharType="separate"/>
      </w:r>
      <w:r w:rsidRPr="00EA6489">
        <w:rPr>
          <w:rFonts w:ascii="Arial" w:hAnsi="Arial" w:cs="Arial"/>
          <w:sz w:val="20"/>
        </w:rPr>
        <w:fldChar w:fldCharType="end"/>
      </w:r>
      <w:r w:rsidRPr="00EA6489">
        <w:rPr>
          <w:rFonts w:ascii="Arial" w:hAnsi="Arial" w:cs="Arial"/>
          <w:sz w:val="20"/>
        </w:rPr>
        <w:tab/>
        <w:t>keinen offensichtlichen wirtschaftlichen oder rechtmäßigen Zweck hat.</w:t>
      </w:r>
    </w:p>
    <w:p w:rsidR="00EA6489" w:rsidRPr="00EA6489" w:rsidRDefault="00EA6489" w:rsidP="00EA6489">
      <w:pPr>
        <w:pStyle w:val="Listenabsatz"/>
        <w:spacing w:after="60" w:line="240" w:lineRule="auto"/>
        <w:ind w:left="1560"/>
        <w:rPr>
          <w:rFonts w:ascii="Arial" w:hAnsi="Arial" w:cs="Arial"/>
          <w:sz w:val="20"/>
        </w:rPr>
      </w:pPr>
    </w:p>
    <w:p w:rsidR="00EA6489" w:rsidRPr="00EA6489" w:rsidRDefault="00EA6489" w:rsidP="00EA6489">
      <w:pPr>
        <w:pStyle w:val="Listenabsatz"/>
        <w:spacing w:after="0" w:line="240" w:lineRule="auto"/>
        <w:ind w:left="1560"/>
        <w:rPr>
          <w:rFonts w:ascii="Arial" w:hAnsi="Arial" w:cs="Arial"/>
          <w:sz w:val="20"/>
        </w:rPr>
      </w:pPr>
      <w:r w:rsidRPr="00EA6489">
        <w:rPr>
          <w:rFonts w:ascii="Arial" w:hAnsi="Arial" w:cs="Arial"/>
          <w:b/>
          <w:sz w:val="20"/>
        </w:rPr>
        <w:t>Praxishinweis:</w:t>
      </w:r>
      <w:r w:rsidRPr="00EA6489">
        <w:rPr>
          <w:rFonts w:ascii="Arial" w:hAnsi="Arial" w:cs="Arial"/>
          <w:sz w:val="20"/>
        </w:rPr>
        <w:t xml:space="preserve"> Derartige Fälle von Steuerberatungsmandaten dürften in der Praxis selten vorkommen. Es geht hier nicht um die Beurteilung der Tätigkeiten des Mandanten im Rahmen von dessen Unternehmen (höhere Risiken daraus gehören zu nachfolgendem Punkt A.2.).</w:t>
      </w:r>
    </w:p>
    <w:p w:rsidR="00EA6489" w:rsidRPr="00EA6489" w:rsidRDefault="00EA6489" w:rsidP="00EA6489">
      <w:pPr>
        <w:pStyle w:val="Listenabsatz"/>
        <w:spacing w:after="0" w:line="240" w:lineRule="auto"/>
        <w:ind w:left="1560"/>
        <w:rPr>
          <w:rFonts w:ascii="Arial" w:hAnsi="Arial" w:cs="Arial"/>
          <w:sz w:val="20"/>
        </w:rPr>
      </w:pPr>
    </w:p>
    <w:p w:rsidR="00EA6489" w:rsidRDefault="00EA6489" w:rsidP="00EA6489">
      <w:pPr>
        <w:pStyle w:val="Listenabsatz"/>
        <w:spacing w:after="0" w:line="240" w:lineRule="auto"/>
        <w:ind w:left="1560"/>
        <w:rPr>
          <w:rFonts w:ascii="Arial" w:hAnsi="Arial" w:cs="Arial"/>
          <w:sz w:val="20"/>
        </w:rPr>
      </w:pPr>
      <w:r w:rsidRPr="00EA6489">
        <w:rPr>
          <w:rFonts w:ascii="Arial" w:hAnsi="Arial" w:cs="Arial"/>
          <w:sz w:val="20"/>
        </w:rPr>
        <w:t>Erläuterung der Risikoeinstufung:</w:t>
      </w:r>
    </w:p>
    <w:p w:rsidR="00EA6489" w:rsidRPr="00EA6489" w:rsidRDefault="00EA6489" w:rsidP="00EA6489">
      <w:pPr>
        <w:pStyle w:val="Listenabsatz"/>
        <w:spacing w:after="0" w:line="240" w:lineRule="auto"/>
        <w:ind w:left="1560"/>
        <w:rPr>
          <w:rFonts w:ascii="Arial" w:hAnsi="Arial" w:cs="Arial"/>
          <w:sz w:val="20"/>
        </w:rPr>
      </w:pPr>
    </w:p>
    <w:p w:rsidR="00EA6489" w:rsidRPr="00EA6489" w:rsidRDefault="00EA6489" w:rsidP="00EA6489">
      <w:pPr>
        <w:spacing w:after="0" w:line="240" w:lineRule="auto"/>
        <w:ind w:left="1560"/>
        <w:rPr>
          <w:rFonts w:ascii="Arial" w:hAnsi="Arial" w:cs="Arial"/>
          <w:sz w:val="20"/>
        </w:rPr>
      </w:pPr>
      <w:r w:rsidRPr="00EA6489">
        <w:rPr>
          <w:rFonts w:ascii="Arial" w:hAnsi="Arial" w:cs="Arial"/>
          <w:sz w:val="20"/>
        </w:rPr>
        <w:t>____________________________________________________________</w:t>
      </w:r>
      <w:r w:rsidRPr="00EA6489">
        <w:rPr>
          <w:rFonts w:ascii="Arial" w:hAnsi="Arial" w:cs="Arial"/>
          <w:sz w:val="20"/>
        </w:rPr>
        <w:br/>
      </w:r>
      <w:r w:rsidRPr="00EA6489">
        <w:rPr>
          <w:rFonts w:ascii="Arial" w:hAnsi="Arial" w:cs="Arial"/>
          <w:sz w:val="20"/>
        </w:rPr>
        <w:br/>
        <w:t>____________________________________________________________</w:t>
      </w:r>
    </w:p>
    <w:p w:rsidR="00EA6489" w:rsidRPr="005E172B" w:rsidRDefault="00EA6489" w:rsidP="00EA6489">
      <w:pPr>
        <w:pStyle w:val="Listenabsatz"/>
        <w:spacing w:after="0" w:line="240" w:lineRule="auto"/>
        <w:ind w:left="0"/>
        <w:rPr>
          <w:rFonts w:ascii="Arial" w:hAnsi="Arial" w:cs="Arial"/>
        </w:rPr>
      </w:pPr>
    </w:p>
    <w:p w:rsidR="00EA6489" w:rsidRPr="005E172B" w:rsidRDefault="00EA6489" w:rsidP="00EA6489">
      <w:pPr>
        <w:spacing w:after="0" w:line="240" w:lineRule="auto"/>
        <w:rPr>
          <w:rFonts w:ascii="Arial" w:hAnsi="Arial" w:cs="Arial"/>
        </w:rPr>
      </w:pPr>
    </w:p>
    <w:p w:rsidR="00EA6489" w:rsidRPr="00EA6489" w:rsidRDefault="00EA6489" w:rsidP="00EA6489">
      <w:pPr>
        <w:pStyle w:val="Listenabsatz"/>
        <w:numPr>
          <w:ilvl w:val="0"/>
          <w:numId w:val="2"/>
        </w:numPr>
        <w:spacing w:after="0" w:line="240" w:lineRule="auto"/>
        <w:ind w:left="1134" w:hanging="283"/>
        <w:rPr>
          <w:rFonts w:ascii="Arial" w:hAnsi="Arial" w:cs="Arial"/>
          <w:sz w:val="20"/>
        </w:rPr>
      </w:pPr>
      <w:r w:rsidRPr="00EA6489">
        <w:rPr>
          <w:rFonts w:ascii="Arial" w:hAnsi="Arial" w:cs="Arial"/>
          <w:sz w:val="20"/>
        </w:rPr>
        <w:t>Die Mandatsbeziehung birgt gemäß § 15 Abs. 2 GwG und den Anlagen 1 und 2 zum GwG ein höheres Risiko der Geldwäsche – gegebenenfalls zusätzlich zu den vorstehend unter 1. abgefragten Risikofällen</w:t>
      </w:r>
    </w:p>
    <w:p w:rsidR="00EA6489" w:rsidRPr="00EA6489" w:rsidRDefault="00EA6489" w:rsidP="00EA6489">
      <w:pPr>
        <w:spacing w:after="0" w:line="240" w:lineRule="auto"/>
        <w:ind w:left="1134"/>
        <w:rPr>
          <w:rFonts w:ascii="Arial" w:hAnsi="Arial" w:cs="Arial"/>
          <w:sz w:val="20"/>
        </w:rPr>
      </w:pPr>
    </w:p>
    <w:p w:rsidR="00EA6489" w:rsidRPr="00EA6489" w:rsidRDefault="00EA6489" w:rsidP="00EA6489">
      <w:pPr>
        <w:spacing w:after="0" w:line="240" w:lineRule="auto"/>
        <w:ind w:left="1134"/>
        <w:rPr>
          <w:rFonts w:ascii="Arial" w:hAnsi="Arial" w:cs="Arial"/>
          <w:sz w:val="20"/>
        </w:rPr>
      </w:pPr>
      <w:r w:rsidRPr="00EA6489">
        <w:rPr>
          <w:rFonts w:ascii="Arial" w:hAnsi="Arial" w:cs="Arial"/>
          <w:b/>
          <w:sz w:val="20"/>
        </w:rPr>
        <w:t>Praxishinweis:</w:t>
      </w:r>
      <w:r w:rsidRPr="00EA6489">
        <w:rPr>
          <w:rFonts w:ascii="Arial" w:hAnsi="Arial" w:cs="Arial"/>
          <w:sz w:val="20"/>
        </w:rPr>
        <w:t xml:space="preserve"> Bei Mandatsfällen eines Steuerberaters sind die Risikofaktoren der Anlagen 1 und 2 auch im Hinblick auf die (unternehmerische) Tätigkeit des </w:t>
      </w:r>
      <w:r w:rsidRPr="00EA6489">
        <w:rPr>
          <w:rFonts w:ascii="Arial" w:hAnsi="Arial" w:cs="Arial"/>
          <w:sz w:val="20"/>
        </w:rPr>
        <w:br/>
        <w:t xml:space="preserve">betreuten Mandanten zu prüfen, </w:t>
      </w:r>
      <w:r w:rsidRPr="00EA6489">
        <w:rPr>
          <w:rFonts w:ascii="Arial" w:hAnsi="Arial" w:cs="Arial"/>
          <w:sz w:val="20"/>
          <w:u w:val="single"/>
        </w:rPr>
        <w:t xml:space="preserve">soweit die Tätigkeit des Mandanten im Rahmen </w:t>
      </w:r>
      <w:r w:rsidRPr="00EA6489">
        <w:rPr>
          <w:rFonts w:ascii="Arial" w:hAnsi="Arial" w:cs="Arial"/>
          <w:sz w:val="20"/>
          <w:u w:val="single"/>
        </w:rPr>
        <w:br/>
        <w:t>der Mandatsbeziehung relevant und deshalb dem Steuerberater bekannt ist.</w:t>
      </w:r>
      <w:r w:rsidRPr="00EA6489">
        <w:rPr>
          <w:rFonts w:ascii="Arial" w:hAnsi="Arial" w:cs="Arial"/>
          <w:sz w:val="20"/>
        </w:rPr>
        <w:t xml:space="preserve"> </w:t>
      </w:r>
      <w:r w:rsidRPr="00EA6489">
        <w:rPr>
          <w:rFonts w:ascii="Arial" w:hAnsi="Arial" w:cs="Arial"/>
          <w:sz w:val="20"/>
        </w:rPr>
        <w:br/>
      </w:r>
    </w:p>
    <w:p w:rsidR="00EA6489" w:rsidRDefault="00EA6489" w:rsidP="00EA6489">
      <w:pPr>
        <w:spacing w:after="0" w:line="240" w:lineRule="auto"/>
        <w:ind w:left="1134"/>
        <w:rPr>
          <w:rFonts w:ascii="Arial" w:hAnsi="Arial" w:cs="Arial"/>
          <w:sz w:val="20"/>
        </w:rPr>
      </w:pPr>
      <w:r w:rsidRPr="00EA6489">
        <w:rPr>
          <w:rFonts w:ascii="Arial" w:hAnsi="Arial" w:cs="Arial"/>
          <w:sz w:val="20"/>
        </w:rPr>
        <w:t xml:space="preserve">Erläuterung der Faktoren (siehe Anlage 1 und 2 zum GwG) für ein höheres </w:t>
      </w:r>
      <w:r w:rsidRPr="00EA6489">
        <w:rPr>
          <w:rFonts w:ascii="Arial" w:hAnsi="Arial" w:cs="Arial"/>
          <w:sz w:val="20"/>
        </w:rPr>
        <w:br/>
        <w:t>Risiko:</w:t>
      </w:r>
    </w:p>
    <w:p w:rsidR="00EA6489" w:rsidRDefault="00EA6489" w:rsidP="00EA6489">
      <w:pPr>
        <w:spacing w:after="0" w:line="240" w:lineRule="auto"/>
        <w:ind w:left="1134"/>
        <w:rPr>
          <w:rFonts w:ascii="Arial" w:hAnsi="Arial" w:cs="Arial"/>
          <w:sz w:val="20"/>
        </w:rPr>
      </w:pPr>
      <w:r w:rsidRPr="00EA6489">
        <w:rPr>
          <w:rFonts w:ascii="Arial" w:hAnsi="Arial" w:cs="Arial"/>
          <w:sz w:val="20"/>
        </w:rPr>
        <w:br/>
        <w:t>________________________________________________________________</w:t>
      </w:r>
      <w:r w:rsidRPr="00EA6489">
        <w:rPr>
          <w:rFonts w:ascii="Arial" w:hAnsi="Arial" w:cs="Arial"/>
          <w:sz w:val="20"/>
        </w:rPr>
        <w:br/>
      </w:r>
      <w:r w:rsidRPr="00EA6489">
        <w:rPr>
          <w:rFonts w:ascii="Arial" w:hAnsi="Arial" w:cs="Arial"/>
          <w:sz w:val="20"/>
        </w:rPr>
        <w:br/>
        <w:t>________________________________________________________________</w:t>
      </w:r>
      <w:r w:rsidRPr="00EA6489">
        <w:rPr>
          <w:rFonts w:ascii="Arial" w:hAnsi="Arial" w:cs="Arial"/>
          <w:strike/>
          <w:sz w:val="20"/>
          <w:u w:val="single"/>
        </w:rPr>
        <w:br/>
      </w:r>
    </w:p>
    <w:p w:rsidR="00EA6489" w:rsidRPr="00EA6489" w:rsidRDefault="00EA6489" w:rsidP="00EA6489">
      <w:pPr>
        <w:spacing w:after="0" w:line="240" w:lineRule="auto"/>
        <w:ind w:left="1134"/>
        <w:rPr>
          <w:rFonts w:ascii="Arial" w:hAnsi="Arial" w:cs="Arial"/>
          <w:sz w:val="20"/>
        </w:rPr>
      </w:pPr>
    </w:p>
    <w:p w:rsidR="00EA6489" w:rsidRPr="00EA6489" w:rsidRDefault="00EA6489" w:rsidP="00EA6489">
      <w:pPr>
        <w:pStyle w:val="Listenabsatz"/>
        <w:numPr>
          <w:ilvl w:val="0"/>
          <w:numId w:val="2"/>
        </w:numPr>
        <w:spacing w:after="0" w:line="240" w:lineRule="auto"/>
        <w:ind w:left="1134" w:hanging="283"/>
        <w:rPr>
          <w:rFonts w:ascii="Arial" w:hAnsi="Arial" w:cs="Arial"/>
          <w:sz w:val="20"/>
        </w:rPr>
      </w:pPr>
      <w:r w:rsidRPr="00EA6489">
        <w:rPr>
          <w:rFonts w:ascii="Arial" w:hAnsi="Arial" w:cs="Arial"/>
          <w:sz w:val="20"/>
        </w:rPr>
        <w:t xml:space="preserve">Der Mandatsfall birgt </w:t>
      </w:r>
      <w:r w:rsidRPr="00EA6489">
        <w:rPr>
          <w:rFonts w:ascii="Arial" w:hAnsi="Arial" w:cs="Arial"/>
          <w:b/>
          <w:sz w:val="20"/>
        </w:rPr>
        <w:t xml:space="preserve">kein </w:t>
      </w:r>
      <w:r w:rsidRPr="00EA6489">
        <w:rPr>
          <w:rFonts w:ascii="Arial" w:hAnsi="Arial" w:cs="Arial"/>
          <w:sz w:val="20"/>
        </w:rPr>
        <w:t>höheres Risiko der Geldwäsche</w:t>
      </w:r>
    </w:p>
    <w:p w:rsidR="00EA6489" w:rsidRPr="005E172B" w:rsidRDefault="00EA6489" w:rsidP="00EA6489">
      <w:pPr>
        <w:spacing w:after="0" w:line="240" w:lineRule="auto"/>
        <w:ind w:left="851"/>
        <w:rPr>
          <w:rFonts w:ascii="Arial" w:hAnsi="Arial" w:cs="Arial"/>
        </w:rPr>
      </w:pPr>
    </w:p>
    <w:p w:rsidR="00EA6489" w:rsidRPr="005E172B" w:rsidRDefault="00EA6489" w:rsidP="00EA6489">
      <w:pPr>
        <w:pStyle w:val="Listenabsatz"/>
        <w:spacing w:after="0" w:line="240" w:lineRule="auto"/>
        <w:ind w:left="851"/>
        <w:rPr>
          <w:rFonts w:ascii="Arial" w:hAnsi="Arial" w:cs="Arial"/>
        </w:rPr>
      </w:pPr>
    </w:p>
    <w:p w:rsidR="00EA6489" w:rsidRPr="00050789" w:rsidRDefault="00EA6489" w:rsidP="00EA6489">
      <w:pPr>
        <w:pStyle w:val="Listenabsatz"/>
        <w:numPr>
          <w:ilvl w:val="0"/>
          <w:numId w:val="1"/>
        </w:numPr>
        <w:spacing w:after="0" w:line="240" w:lineRule="auto"/>
        <w:ind w:left="567" w:hanging="567"/>
        <w:rPr>
          <w:rFonts w:ascii="Arial" w:hAnsi="Arial" w:cs="Arial"/>
          <w:b/>
          <w:sz w:val="24"/>
          <w:szCs w:val="24"/>
        </w:rPr>
      </w:pPr>
      <w:r w:rsidRPr="00EA6489">
        <w:rPr>
          <w:rFonts w:ascii="Arial" w:hAnsi="Arial" w:cs="Arial"/>
          <w:b/>
          <w:szCs w:val="24"/>
        </w:rPr>
        <w:t>Ermittlung der verstärkten Sorgfaltsmaßnahmen</w:t>
      </w:r>
      <w:r w:rsidRPr="00EA6489">
        <w:rPr>
          <w:rFonts w:ascii="Arial" w:hAnsi="Arial" w:cs="Arial"/>
          <w:b/>
          <w:szCs w:val="24"/>
        </w:rPr>
        <w:br/>
      </w:r>
    </w:p>
    <w:p w:rsidR="00EA6489" w:rsidRPr="00EA6489" w:rsidRDefault="00EA6489" w:rsidP="00EA6489">
      <w:pPr>
        <w:spacing w:after="0" w:line="240" w:lineRule="auto"/>
        <w:rPr>
          <w:rFonts w:ascii="Arial" w:hAnsi="Arial" w:cs="Arial"/>
          <w:sz w:val="20"/>
        </w:rPr>
      </w:pPr>
      <w:r w:rsidRPr="00EA6489">
        <w:rPr>
          <w:rFonts w:ascii="Arial" w:hAnsi="Arial" w:cs="Arial"/>
          <w:sz w:val="20"/>
        </w:rPr>
        <w:t>Soweit vorstehend unter A. ein höheres Geldwäscherisiko ermittelt wurde, sind gemäß § 15 Abs. 4 bis 6 GwG angemessene verstärkte Sorgfaltsmaßnahmen zu bestimmen und umzusetzen. Dabei wird nachfolgend wie folgt vorgegangen:</w:t>
      </w:r>
    </w:p>
    <w:p w:rsidR="00EA6489" w:rsidRPr="00EA6489" w:rsidRDefault="00EA6489" w:rsidP="00EA6489">
      <w:pPr>
        <w:spacing w:after="0" w:line="240" w:lineRule="auto"/>
        <w:rPr>
          <w:rFonts w:ascii="Arial" w:hAnsi="Arial" w:cs="Arial"/>
          <w:sz w:val="20"/>
        </w:rPr>
      </w:pPr>
    </w:p>
    <w:p w:rsidR="00EA6489" w:rsidRPr="00EA6489" w:rsidRDefault="00EA6489" w:rsidP="00EA6489">
      <w:pPr>
        <w:pStyle w:val="Listenabsatz"/>
        <w:numPr>
          <w:ilvl w:val="0"/>
          <w:numId w:val="7"/>
        </w:numPr>
        <w:spacing w:after="0" w:line="240" w:lineRule="auto"/>
        <w:ind w:left="851" w:hanging="425"/>
        <w:rPr>
          <w:rFonts w:ascii="Arial" w:hAnsi="Arial" w:cs="Arial"/>
          <w:sz w:val="20"/>
        </w:rPr>
      </w:pPr>
      <w:r w:rsidRPr="00EA6489">
        <w:rPr>
          <w:rFonts w:ascii="Arial" w:hAnsi="Arial" w:cs="Arial"/>
          <w:sz w:val="20"/>
        </w:rPr>
        <w:t>Unter Ziffer 1 sind die Sorgfaltsmaßnahmen dargelegt und zu konkretisieren, die grundsätzlich bei jeder Mandatsbeziehung mit einem höheren Risiko der Geldwäsche anzuwenden sind.</w:t>
      </w:r>
    </w:p>
    <w:p w:rsidR="00EA6489" w:rsidRPr="00EA6489" w:rsidRDefault="00EA6489" w:rsidP="00EA6489">
      <w:pPr>
        <w:pStyle w:val="Listenabsatz"/>
        <w:spacing w:after="0" w:line="240" w:lineRule="auto"/>
        <w:ind w:left="851"/>
        <w:rPr>
          <w:rFonts w:ascii="Arial" w:hAnsi="Arial" w:cs="Arial"/>
          <w:sz w:val="20"/>
        </w:rPr>
      </w:pPr>
    </w:p>
    <w:p w:rsidR="00EA6489" w:rsidRPr="00EA6489" w:rsidRDefault="00EA6489" w:rsidP="00EA6489">
      <w:pPr>
        <w:pStyle w:val="Listenabsatz"/>
        <w:numPr>
          <w:ilvl w:val="0"/>
          <w:numId w:val="7"/>
        </w:numPr>
        <w:spacing w:after="0" w:line="240" w:lineRule="auto"/>
        <w:ind w:left="851" w:hanging="425"/>
        <w:rPr>
          <w:rFonts w:ascii="Arial" w:hAnsi="Arial" w:cs="Arial"/>
          <w:sz w:val="20"/>
        </w:rPr>
      </w:pPr>
      <w:r w:rsidRPr="00EA6489">
        <w:rPr>
          <w:rFonts w:ascii="Arial" w:hAnsi="Arial" w:cs="Arial"/>
          <w:sz w:val="20"/>
        </w:rPr>
        <w:t xml:space="preserve">Unter den Ziffern 2 bis 5 sind </w:t>
      </w:r>
      <w:r w:rsidRPr="00EA6489">
        <w:rPr>
          <w:rFonts w:ascii="Arial" w:hAnsi="Arial" w:cs="Arial"/>
          <w:sz w:val="20"/>
          <w:u w:val="single"/>
        </w:rPr>
        <w:t>zusätzliche</w:t>
      </w:r>
      <w:r w:rsidRPr="00EA6489">
        <w:rPr>
          <w:rFonts w:ascii="Arial" w:hAnsi="Arial" w:cs="Arial"/>
          <w:sz w:val="20"/>
        </w:rPr>
        <w:t xml:space="preserve"> Sorgfaltsmaßnahmen vorgesehen, die speziell aus den typisierten Risikofällen des § 15 Abs. 3 GwG oder aus der Regelung des § 15 Abs. 2 GwG resultieren. Sofern mehrere Risikofälle gleichzeitig erfüllt werden, sind auch die zugehörigen speziellen Maßnahmen auf die betreffende Mandatsbeziehung anzuwenden.</w:t>
      </w:r>
    </w:p>
    <w:p w:rsidR="00EA6489" w:rsidRPr="00EA6489" w:rsidRDefault="00EA6489" w:rsidP="00EA6489">
      <w:pPr>
        <w:spacing w:after="0" w:line="240" w:lineRule="auto"/>
        <w:ind w:left="426"/>
        <w:rPr>
          <w:rFonts w:ascii="Arial" w:hAnsi="Arial" w:cs="Arial"/>
          <w:sz w:val="20"/>
        </w:rPr>
      </w:pPr>
    </w:p>
    <w:p w:rsidR="00EA6489" w:rsidRPr="00EA6489" w:rsidRDefault="00EA6489" w:rsidP="00EA6489">
      <w:pPr>
        <w:pStyle w:val="Listenabsatz"/>
        <w:numPr>
          <w:ilvl w:val="0"/>
          <w:numId w:val="4"/>
        </w:numPr>
        <w:spacing w:after="0" w:line="240" w:lineRule="auto"/>
        <w:ind w:left="426" w:hanging="426"/>
        <w:rPr>
          <w:rFonts w:ascii="Arial" w:hAnsi="Arial" w:cs="Arial"/>
          <w:sz w:val="20"/>
        </w:rPr>
      </w:pPr>
      <w:r w:rsidRPr="00EA6489">
        <w:rPr>
          <w:rFonts w:ascii="Arial" w:hAnsi="Arial" w:cs="Arial"/>
          <w:b/>
          <w:sz w:val="20"/>
        </w:rPr>
        <w:t>Verstärkte Sorgfaltsmaßnahmen bei jedem höheren Geldwäscherisiko</w:t>
      </w:r>
      <w:r w:rsidRPr="00EA6489">
        <w:rPr>
          <w:rFonts w:ascii="Arial" w:hAnsi="Arial" w:cs="Arial"/>
          <w:sz w:val="20"/>
        </w:rPr>
        <w:t xml:space="preserve"> (außer es liegt lediglich ein höheres Risiko nach vorstehender Ziffer A.1.c vor)</w:t>
      </w:r>
    </w:p>
    <w:p w:rsidR="00EA6489" w:rsidRPr="00EA6489" w:rsidRDefault="00EA6489" w:rsidP="00EA6489">
      <w:pPr>
        <w:spacing w:after="0" w:line="240" w:lineRule="auto"/>
        <w:ind w:left="426"/>
        <w:rPr>
          <w:rFonts w:ascii="Arial" w:hAnsi="Arial" w:cs="Arial"/>
          <w:sz w:val="20"/>
        </w:rPr>
      </w:pPr>
    </w:p>
    <w:p w:rsidR="00EA6489" w:rsidRPr="00EA6489" w:rsidRDefault="00EA6489" w:rsidP="00EA6489">
      <w:pPr>
        <w:pStyle w:val="Listenabsatz"/>
        <w:numPr>
          <w:ilvl w:val="0"/>
          <w:numId w:val="5"/>
        </w:numPr>
        <w:spacing w:after="0" w:line="240" w:lineRule="auto"/>
        <w:ind w:left="851" w:hanging="425"/>
        <w:rPr>
          <w:rFonts w:ascii="Arial" w:hAnsi="Arial" w:cs="Arial"/>
          <w:sz w:val="20"/>
        </w:rPr>
      </w:pPr>
      <w:r w:rsidRPr="00EA6489">
        <w:rPr>
          <w:rFonts w:ascii="Arial" w:hAnsi="Arial" w:cs="Arial"/>
          <w:sz w:val="20"/>
        </w:rPr>
        <w:t>Einbindung der Führungsebene der Praxis:</w:t>
      </w:r>
    </w:p>
    <w:p w:rsidR="00EA6489" w:rsidRPr="00EA6489" w:rsidRDefault="00EA6489" w:rsidP="00EA6489">
      <w:pPr>
        <w:pStyle w:val="Listenabsatz"/>
        <w:spacing w:after="0" w:line="240" w:lineRule="auto"/>
        <w:ind w:left="851" w:hanging="425"/>
        <w:rPr>
          <w:rFonts w:ascii="Arial" w:hAnsi="Arial" w:cs="Arial"/>
          <w:sz w:val="20"/>
        </w:rPr>
      </w:pPr>
    </w:p>
    <w:p w:rsidR="00EA6489" w:rsidRPr="00EA6489" w:rsidRDefault="00EA6489" w:rsidP="00EA6489">
      <w:pPr>
        <w:pStyle w:val="Listenabsatz"/>
        <w:spacing w:after="0" w:line="240" w:lineRule="auto"/>
        <w:ind w:left="851"/>
        <w:rPr>
          <w:rFonts w:ascii="Arial" w:hAnsi="Arial" w:cs="Arial"/>
          <w:sz w:val="20"/>
        </w:rPr>
      </w:pPr>
      <w:r w:rsidRPr="00EA6489">
        <w:rPr>
          <w:rFonts w:ascii="Arial" w:hAnsi="Arial" w:cs="Arial"/>
          <w:sz w:val="20"/>
        </w:rPr>
        <w:t>Folgendes Mitglied der Führungsebene der Praxis hat der Begründung bzw. Fortführung der Mandatsbeziehung (auch Einzelmandat) zugestimmt:</w:t>
      </w:r>
    </w:p>
    <w:p w:rsidR="00EA6489" w:rsidRPr="00EA6489" w:rsidRDefault="00EA6489" w:rsidP="00EA6489">
      <w:pPr>
        <w:pStyle w:val="Listenabsatz"/>
        <w:spacing w:after="0" w:line="240" w:lineRule="auto"/>
        <w:ind w:left="851"/>
        <w:rPr>
          <w:rFonts w:ascii="Arial" w:hAnsi="Arial" w:cs="Arial"/>
          <w:sz w:val="20"/>
        </w:rPr>
      </w:pPr>
    </w:p>
    <w:p w:rsidR="00EA6489" w:rsidRPr="00EA6489" w:rsidRDefault="00EA6489" w:rsidP="00EA6489">
      <w:pPr>
        <w:spacing w:after="0" w:line="240" w:lineRule="auto"/>
        <w:ind w:left="851"/>
        <w:rPr>
          <w:rFonts w:ascii="Arial" w:hAnsi="Arial" w:cs="Arial"/>
          <w:sz w:val="20"/>
        </w:rPr>
      </w:pPr>
      <w:r w:rsidRPr="00EA6489">
        <w:rPr>
          <w:rFonts w:ascii="Arial" w:hAnsi="Arial" w:cs="Arial"/>
          <w:sz w:val="20"/>
        </w:rPr>
        <w:t>___________________________________________________________________</w:t>
      </w:r>
    </w:p>
    <w:p w:rsidR="00EA6489" w:rsidRPr="00EA6489" w:rsidRDefault="00EA6489" w:rsidP="00EA6489">
      <w:pPr>
        <w:spacing w:after="0" w:line="240" w:lineRule="auto"/>
        <w:ind w:left="851"/>
        <w:rPr>
          <w:rFonts w:ascii="Arial" w:hAnsi="Arial" w:cs="Arial"/>
          <w:sz w:val="20"/>
        </w:rPr>
      </w:pPr>
      <w:r w:rsidRPr="00EA6489">
        <w:rPr>
          <w:rFonts w:ascii="Arial" w:hAnsi="Arial" w:cs="Arial"/>
          <w:sz w:val="20"/>
        </w:rPr>
        <w:t>Vor- und Nachname des Mitglieds der Führungsebene</w:t>
      </w:r>
    </w:p>
    <w:p w:rsidR="00EA6489" w:rsidRPr="00EA6489" w:rsidRDefault="00EA6489" w:rsidP="00EA6489">
      <w:pPr>
        <w:spacing w:after="0" w:line="360" w:lineRule="auto"/>
        <w:ind w:left="1134"/>
        <w:rPr>
          <w:rFonts w:ascii="Arial" w:hAnsi="Arial" w:cs="Arial"/>
          <w:sz w:val="20"/>
        </w:rPr>
      </w:pPr>
    </w:p>
    <w:p w:rsidR="00EA6489" w:rsidRPr="00EA6489" w:rsidRDefault="00EA6489" w:rsidP="00EA6489">
      <w:pPr>
        <w:pStyle w:val="Listenabsatz"/>
        <w:numPr>
          <w:ilvl w:val="0"/>
          <w:numId w:val="5"/>
        </w:numPr>
        <w:spacing w:after="0" w:line="240" w:lineRule="auto"/>
        <w:ind w:left="851" w:hanging="425"/>
        <w:rPr>
          <w:rFonts w:ascii="Arial" w:hAnsi="Arial" w:cs="Arial"/>
          <w:sz w:val="20"/>
        </w:rPr>
      </w:pPr>
      <w:r w:rsidRPr="00EA6489">
        <w:rPr>
          <w:rFonts w:ascii="Arial" w:hAnsi="Arial" w:cs="Arial"/>
          <w:sz w:val="20"/>
        </w:rPr>
        <w:t>Informationen über die Herkunft der für das Honorar verwendeten Vermögenswerte und des Vermögens des Mandanten:</w:t>
      </w:r>
    </w:p>
    <w:p w:rsidR="00EA6489" w:rsidRPr="00EA6489" w:rsidRDefault="00EA6489" w:rsidP="00EA6489">
      <w:pPr>
        <w:pStyle w:val="Listenabsatz"/>
        <w:spacing w:after="0" w:line="240" w:lineRule="auto"/>
        <w:ind w:left="851"/>
        <w:rPr>
          <w:rFonts w:ascii="Arial" w:hAnsi="Arial" w:cs="Arial"/>
          <w:sz w:val="20"/>
        </w:rPr>
      </w:pPr>
    </w:p>
    <w:p w:rsidR="00EA6489" w:rsidRPr="00EA6489" w:rsidRDefault="00EA6489" w:rsidP="00EA6489">
      <w:pPr>
        <w:pStyle w:val="Listenabsatz"/>
        <w:spacing w:after="0" w:line="240" w:lineRule="auto"/>
        <w:ind w:left="851"/>
        <w:rPr>
          <w:rFonts w:ascii="Arial" w:hAnsi="Arial" w:cs="Arial"/>
          <w:sz w:val="20"/>
          <w:u w:val="single"/>
        </w:rPr>
      </w:pPr>
      <w:r w:rsidRPr="00EA6489">
        <w:rPr>
          <w:rFonts w:ascii="Arial" w:hAnsi="Arial" w:cs="Arial"/>
          <w:sz w:val="20"/>
          <w:u w:val="single"/>
        </w:rPr>
        <w:t>___________________________________________________________________</w:t>
      </w:r>
      <w:r w:rsidRPr="00EA6489">
        <w:rPr>
          <w:rFonts w:ascii="Arial" w:hAnsi="Arial" w:cs="Arial"/>
          <w:sz w:val="20"/>
          <w:u w:val="single"/>
        </w:rPr>
        <w:br/>
      </w:r>
    </w:p>
    <w:p w:rsidR="00EA6489" w:rsidRPr="00EA6489" w:rsidRDefault="00EA6489" w:rsidP="00EA6489">
      <w:pPr>
        <w:pStyle w:val="Listenabsatz"/>
        <w:spacing w:after="0" w:line="240" w:lineRule="auto"/>
        <w:ind w:left="851"/>
        <w:rPr>
          <w:rFonts w:ascii="Arial" w:hAnsi="Arial" w:cs="Arial"/>
          <w:sz w:val="20"/>
        </w:rPr>
      </w:pPr>
      <w:r w:rsidRPr="00EA6489">
        <w:rPr>
          <w:rFonts w:ascii="Arial" w:hAnsi="Arial" w:cs="Arial"/>
          <w:sz w:val="20"/>
        </w:rPr>
        <w:t>___________________________________________________________________</w:t>
      </w:r>
    </w:p>
    <w:p w:rsidR="00EA6489" w:rsidRPr="005E172B" w:rsidRDefault="00EA6489" w:rsidP="00EA6489">
      <w:pPr>
        <w:pStyle w:val="Listenabsatz"/>
        <w:spacing w:after="0" w:line="240" w:lineRule="auto"/>
        <w:ind w:left="851"/>
        <w:rPr>
          <w:rFonts w:ascii="Arial" w:hAnsi="Arial" w:cs="Arial"/>
        </w:rPr>
      </w:pPr>
    </w:p>
    <w:p w:rsidR="00EA6489" w:rsidRDefault="00EA6489" w:rsidP="00EA6489">
      <w:pPr>
        <w:spacing w:after="0" w:line="240" w:lineRule="auto"/>
        <w:rPr>
          <w:rFonts w:ascii="Arial" w:hAnsi="Arial" w:cs="Arial"/>
        </w:rPr>
      </w:pPr>
    </w:p>
    <w:p w:rsidR="00EA6489" w:rsidRPr="005E172B" w:rsidRDefault="00EA6489" w:rsidP="00EA6489">
      <w:pPr>
        <w:spacing w:after="0" w:line="240" w:lineRule="auto"/>
        <w:rPr>
          <w:rFonts w:ascii="Arial" w:hAnsi="Arial" w:cs="Arial"/>
        </w:rPr>
      </w:pPr>
    </w:p>
    <w:p w:rsidR="00EA6489" w:rsidRDefault="00EA6489">
      <w:pPr>
        <w:spacing w:after="160" w:line="259" w:lineRule="auto"/>
        <w:rPr>
          <w:rFonts w:ascii="Arial" w:hAnsi="Arial" w:cs="Arial"/>
          <w:b/>
        </w:rPr>
      </w:pPr>
      <w:r>
        <w:rPr>
          <w:rFonts w:ascii="Arial" w:hAnsi="Arial" w:cs="Arial"/>
          <w:b/>
        </w:rPr>
        <w:br w:type="page"/>
      </w:r>
    </w:p>
    <w:p w:rsidR="00EA6489" w:rsidRPr="00EA6489" w:rsidRDefault="00EA6489" w:rsidP="00EA6489">
      <w:pPr>
        <w:pStyle w:val="Listenabsatz"/>
        <w:numPr>
          <w:ilvl w:val="0"/>
          <w:numId w:val="4"/>
        </w:numPr>
        <w:spacing w:after="0" w:line="240" w:lineRule="auto"/>
        <w:ind w:left="426" w:hanging="426"/>
        <w:rPr>
          <w:rFonts w:ascii="Arial" w:hAnsi="Arial" w:cs="Arial"/>
          <w:sz w:val="20"/>
          <w:szCs w:val="20"/>
        </w:rPr>
      </w:pPr>
      <w:r w:rsidRPr="00EA6489">
        <w:rPr>
          <w:rFonts w:ascii="Arial" w:hAnsi="Arial" w:cs="Arial"/>
          <w:b/>
          <w:sz w:val="20"/>
          <w:szCs w:val="20"/>
        </w:rPr>
        <w:lastRenderedPageBreak/>
        <w:t xml:space="preserve">Zusätzliche Maßnahmen </w:t>
      </w:r>
      <w:r w:rsidRPr="00EA6489">
        <w:rPr>
          <w:rFonts w:ascii="Arial" w:hAnsi="Arial" w:cs="Arial"/>
          <w:sz w:val="20"/>
          <w:szCs w:val="20"/>
        </w:rPr>
        <w:t>nach § 15 Abs. 4 GwG</w:t>
      </w:r>
      <w:r w:rsidRPr="00EA6489">
        <w:rPr>
          <w:rFonts w:ascii="Arial" w:hAnsi="Arial" w:cs="Arial"/>
          <w:b/>
          <w:sz w:val="20"/>
          <w:szCs w:val="20"/>
        </w:rPr>
        <w:t xml:space="preserve"> bei Politisch exponierter Person (PEP)</w:t>
      </w:r>
      <w:r w:rsidRPr="00EA6489">
        <w:rPr>
          <w:rFonts w:ascii="Arial" w:hAnsi="Arial" w:cs="Arial"/>
          <w:sz w:val="20"/>
          <w:szCs w:val="20"/>
        </w:rPr>
        <w:t xml:space="preserve"> gemäß § 15 Abs. 3 Nr. 1 GwG (oben Ziffer A.1.a):</w:t>
      </w:r>
    </w:p>
    <w:p w:rsidR="00EA6489" w:rsidRPr="00EA6489" w:rsidRDefault="00EA6489" w:rsidP="00EA6489">
      <w:pPr>
        <w:spacing w:after="0" w:line="240" w:lineRule="auto"/>
        <w:rPr>
          <w:rFonts w:ascii="Arial" w:hAnsi="Arial" w:cs="Arial"/>
          <w:sz w:val="20"/>
          <w:szCs w:val="20"/>
        </w:rPr>
      </w:pPr>
    </w:p>
    <w:p w:rsidR="00EA6489" w:rsidRPr="00EA6489" w:rsidRDefault="00EA6489" w:rsidP="00EA6489">
      <w:pPr>
        <w:pStyle w:val="Listenabsatz"/>
        <w:numPr>
          <w:ilvl w:val="0"/>
          <w:numId w:val="5"/>
        </w:numPr>
        <w:ind w:left="851" w:hanging="425"/>
        <w:rPr>
          <w:rFonts w:ascii="Arial" w:hAnsi="Arial" w:cs="Arial"/>
          <w:sz w:val="20"/>
          <w:szCs w:val="20"/>
        </w:rPr>
      </w:pPr>
      <w:r w:rsidRPr="00EA6489">
        <w:rPr>
          <w:rFonts w:ascii="Arial" w:hAnsi="Arial" w:cs="Arial"/>
          <w:sz w:val="20"/>
          <w:szCs w:val="20"/>
        </w:rPr>
        <w:t>Regelmäßige Überprüfung der Aktualität des PEP-Status, die wie folgt sichergestellt wird:</w:t>
      </w:r>
      <w:r w:rsidRPr="00EA6489">
        <w:rPr>
          <w:rFonts w:ascii="Arial" w:hAnsi="Arial" w:cs="Arial"/>
          <w:sz w:val="20"/>
          <w:szCs w:val="20"/>
        </w:rPr>
        <w:br/>
      </w:r>
    </w:p>
    <w:p w:rsidR="00EA6489" w:rsidRPr="00EA6489" w:rsidRDefault="00EA6489" w:rsidP="00EA6489">
      <w:pPr>
        <w:pStyle w:val="Listenabsatz"/>
        <w:spacing w:after="0" w:line="240" w:lineRule="auto"/>
        <w:ind w:left="851"/>
        <w:rPr>
          <w:rFonts w:ascii="Arial" w:hAnsi="Arial" w:cs="Arial"/>
          <w:sz w:val="20"/>
          <w:szCs w:val="20"/>
          <w:u w:val="single"/>
        </w:rPr>
      </w:pPr>
      <w:r w:rsidRPr="00EA6489">
        <w:rPr>
          <w:rFonts w:ascii="Arial" w:hAnsi="Arial" w:cs="Arial"/>
          <w:sz w:val="20"/>
          <w:szCs w:val="20"/>
          <w:u w:val="single"/>
        </w:rPr>
        <w:t>___________________________________________________________________</w:t>
      </w:r>
    </w:p>
    <w:p w:rsidR="00EA6489" w:rsidRPr="00EA6489" w:rsidRDefault="00EA6489" w:rsidP="00EA6489">
      <w:pPr>
        <w:ind w:left="851"/>
        <w:rPr>
          <w:rFonts w:ascii="Arial" w:hAnsi="Arial" w:cs="Arial"/>
          <w:sz w:val="20"/>
          <w:szCs w:val="20"/>
        </w:rPr>
      </w:pPr>
    </w:p>
    <w:p w:rsidR="00EA6489" w:rsidRPr="00EA6489" w:rsidRDefault="00EA6489" w:rsidP="00EA6489">
      <w:pPr>
        <w:pStyle w:val="Listenabsatz"/>
        <w:numPr>
          <w:ilvl w:val="0"/>
          <w:numId w:val="4"/>
        </w:numPr>
        <w:spacing w:after="0" w:line="240" w:lineRule="auto"/>
        <w:ind w:left="426" w:hanging="426"/>
        <w:rPr>
          <w:rFonts w:ascii="Arial" w:hAnsi="Arial" w:cs="Arial"/>
          <w:sz w:val="20"/>
          <w:szCs w:val="20"/>
        </w:rPr>
      </w:pPr>
      <w:r w:rsidRPr="00EA6489">
        <w:rPr>
          <w:rFonts w:ascii="Arial" w:hAnsi="Arial" w:cs="Arial"/>
          <w:b/>
          <w:sz w:val="20"/>
          <w:szCs w:val="20"/>
        </w:rPr>
        <w:t>Zusätzliche Maßnahmen</w:t>
      </w:r>
      <w:r w:rsidRPr="00EA6489">
        <w:rPr>
          <w:rFonts w:ascii="Arial" w:hAnsi="Arial" w:cs="Arial"/>
          <w:sz w:val="20"/>
          <w:szCs w:val="20"/>
        </w:rPr>
        <w:t xml:space="preserve"> nach § 15 Abs. 5, 5a GwG </w:t>
      </w:r>
      <w:r w:rsidRPr="00EA6489">
        <w:rPr>
          <w:rFonts w:ascii="Arial" w:hAnsi="Arial" w:cs="Arial"/>
          <w:b/>
          <w:sz w:val="20"/>
          <w:szCs w:val="20"/>
        </w:rPr>
        <w:t>bei Hochrisikoländern</w:t>
      </w:r>
      <w:r w:rsidRPr="00EA6489">
        <w:rPr>
          <w:rFonts w:ascii="Arial" w:hAnsi="Arial" w:cs="Arial"/>
          <w:sz w:val="20"/>
          <w:szCs w:val="20"/>
        </w:rPr>
        <w:t xml:space="preserve"> gemäß § 15 Abs. 3 Nr. 2 GwG (oben Ziffer A.1.b):</w:t>
      </w:r>
    </w:p>
    <w:p w:rsidR="00EA6489" w:rsidRPr="00EA6489" w:rsidRDefault="00EA6489" w:rsidP="00EA6489">
      <w:pPr>
        <w:ind w:left="426"/>
        <w:rPr>
          <w:rFonts w:ascii="Arial" w:hAnsi="Arial" w:cs="Arial"/>
          <w:sz w:val="20"/>
          <w:szCs w:val="20"/>
        </w:rPr>
      </w:pPr>
    </w:p>
    <w:p w:rsidR="00EA6489" w:rsidRPr="00EA6489" w:rsidRDefault="00EA6489" w:rsidP="00EA6489">
      <w:pPr>
        <w:pStyle w:val="Listenabsatz"/>
        <w:numPr>
          <w:ilvl w:val="0"/>
          <w:numId w:val="5"/>
        </w:numPr>
        <w:ind w:left="851" w:hanging="425"/>
        <w:rPr>
          <w:rFonts w:ascii="Arial" w:hAnsi="Arial" w:cs="Arial"/>
          <w:sz w:val="20"/>
          <w:szCs w:val="20"/>
        </w:rPr>
      </w:pPr>
      <w:r w:rsidRPr="00EA6489">
        <w:rPr>
          <w:rFonts w:ascii="Arial" w:hAnsi="Arial" w:cs="Arial"/>
          <w:sz w:val="20"/>
          <w:szCs w:val="20"/>
        </w:rPr>
        <w:t>Zusätzliche Informationen über den Mandanten und den wirtschaftlich Berechtigten:</w:t>
      </w:r>
    </w:p>
    <w:p w:rsidR="00EA6489" w:rsidRPr="00EA6489" w:rsidRDefault="00EA6489" w:rsidP="00EA6489">
      <w:pPr>
        <w:pStyle w:val="Listenabsatz"/>
        <w:spacing w:after="0" w:line="240" w:lineRule="auto"/>
        <w:ind w:left="851"/>
        <w:rPr>
          <w:rFonts w:ascii="Arial" w:hAnsi="Arial" w:cs="Arial"/>
          <w:sz w:val="20"/>
          <w:szCs w:val="20"/>
          <w:u w:val="single"/>
        </w:rPr>
      </w:pPr>
    </w:p>
    <w:p w:rsidR="00EA6489" w:rsidRPr="00EA6489" w:rsidRDefault="00EA6489" w:rsidP="00EA6489">
      <w:pPr>
        <w:pStyle w:val="Listenabsatz"/>
        <w:spacing w:after="0" w:line="240" w:lineRule="auto"/>
        <w:ind w:left="851"/>
        <w:rPr>
          <w:rFonts w:ascii="Arial" w:hAnsi="Arial" w:cs="Arial"/>
          <w:sz w:val="20"/>
          <w:szCs w:val="20"/>
        </w:rPr>
      </w:pPr>
      <w:r w:rsidRPr="00EA6489">
        <w:rPr>
          <w:rFonts w:ascii="Arial" w:hAnsi="Arial" w:cs="Arial"/>
          <w:sz w:val="20"/>
          <w:szCs w:val="20"/>
          <w:u w:val="single"/>
        </w:rPr>
        <w:t>___________________________________________________________________</w:t>
      </w:r>
    </w:p>
    <w:p w:rsidR="00EA6489" w:rsidRPr="00EA6489" w:rsidRDefault="00EA6489" w:rsidP="00EA6489">
      <w:pPr>
        <w:ind w:left="851"/>
        <w:rPr>
          <w:rFonts w:ascii="Arial" w:hAnsi="Arial" w:cs="Arial"/>
          <w:sz w:val="20"/>
          <w:szCs w:val="20"/>
        </w:rPr>
      </w:pPr>
    </w:p>
    <w:p w:rsidR="00EA6489" w:rsidRPr="00EA6489" w:rsidRDefault="00EA6489" w:rsidP="00EA6489">
      <w:pPr>
        <w:pStyle w:val="Listenabsatz"/>
        <w:numPr>
          <w:ilvl w:val="0"/>
          <w:numId w:val="5"/>
        </w:numPr>
        <w:ind w:left="851" w:hanging="425"/>
        <w:rPr>
          <w:rFonts w:ascii="Arial" w:hAnsi="Arial" w:cs="Arial"/>
          <w:sz w:val="20"/>
          <w:szCs w:val="20"/>
        </w:rPr>
      </w:pPr>
      <w:r w:rsidRPr="00EA6489">
        <w:rPr>
          <w:rFonts w:ascii="Arial" w:hAnsi="Arial" w:cs="Arial"/>
          <w:sz w:val="20"/>
          <w:szCs w:val="20"/>
        </w:rPr>
        <w:t>Zusätzliche Informationen über die angestrebte Art des Mandates:</w:t>
      </w:r>
    </w:p>
    <w:p w:rsidR="00EA6489" w:rsidRPr="00EA6489" w:rsidRDefault="00EA6489" w:rsidP="00EA6489">
      <w:pPr>
        <w:pStyle w:val="Listenabsatz"/>
        <w:spacing w:after="0" w:line="240" w:lineRule="auto"/>
        <w:ind w:left="851"/>
        <w:rPr>
          <w:rFonts w:ascii="Arial" w:hAnsi="Arial" w:cs="Arial"/>
          <w:sz w:val="20"/>
          <w:szCs w:val="20"/>
          <w:u w:val="single"/>
        </w:rPr>
      </w:pPr>
    </w:p>
    <w:p w:rsidR="00EA6489" w:rsidRPr="00EA6489" w:rsidRDefault="00EA6489" w:rsidP="00EA6489">
      <w:pPr>
        <w:pStyle w:val="Listenabsatz"/>
        <w:spacing w:after="0" w:line="240" w:lineRule="auto"/>
        <w:ind w:left="851"/>
        <w:rPr>
          <w:rFonts w:ascii="Arial" w:hAnsi="Arial" w:cs="Arial"/>
          <w:sz w:val="20"/>
          <w:szCs w:val="20"/>
        </w:rPr>
      </w:pPr>
      <w:r w:rsidRPr="00EA6489">
        <w:rPr>
          <w:rFonts w:ascii="Arial" w:hAnsi="Arial" w:cs="Arial"/>
          <w:sz w:val="20"/>
          <w:szCs w:val="20"/>
          <w:u w:val="single"/>
        </w:rPr>
        <w:t>___________________________________________________________________</w:t>
      </w:r>
    </w:p>
    <w:p w:rsidR="00EA6489" w:rsidRPr="00EA6489" w:rsidRDefault="00EA6489" w:rsidP="00EA6489">
      <w:pPr>
        <w:ind w:left="851"/>
        <w:rPr>
          <w:rFonts w:ascii="Arial" w:hAnsi="Arial" w:cs="Arial"/>
          <w:sz w:val="20"/>
          <w:szCs w:val="20"/>
        </w:rPr>
      </w:pPr>
    </w:p>
    <w:p w:rsidR="00EA6489" w:rsidRPr="00EA6489" w:rsidRDefault="00EA6489" w:rsidP="00EA6489">
      <w:pPr>
        <w:pStyle w:val="Listenabsatz"/>
        <w:numPr>
          <w:ilvl w:val="0"/>
          <w:numId w:val="5"/>
        </w:numPr>
        <w:ind w:left="851" w:hanging="425"/>
        <w:rPr>
          <w:rFonts w:ascii="Arial" w:hAnsi="Arial" w:cs="Arial"/>
          <w:sz w:val="20"/>
          <w:szCs w:val="20"/>
        </w:rPr>
      </w:pPr>
      <w:r w:rsidRPr="00EA6489">
        <w:rPr>
          <w:rFonts w:ascii="Arial" w:hAnsi="Arial" w:cs="Arial"/>
          <w:sz w:val="20"/>
          <w:szCs w:val="20"/>
        </w:rPr>
        <w:t>Informationen über die Herkunft der Vermögenswerte und des Vermögens des wirtschaftlich Berechtigten (außer bei fiktiven wirtschaftlich Berechtigten nach § 3 Abs. 2 Satz 5 GwG):</w:t>
      </w:r>
    </w:p>
    <w:p w:rsidR="00EA6489" w:rsidRPr="00EA6489" w:rsidRDefault="00EA6489" w:rsidP="00EA6489">
      <w:pPr>
        <w:pStyle w:val="Listenabsatz"/>
        <w:spacing w:after="0" w:line="240" w:lineRule="auto"/>
        <w:ind w:left="851"/>
        <w:rPr>
          <w:rFonts w:ascii="Arial" w:hAnsi="Arial" w:cs="Arial"/>
          <w:sz w:val="20"/>
          <w:szCs w:val="20"/>
        </w:rPr>
      </w:pPr>
      <w:r w:rsidRPr="00EA6489">
        <w:rPr>
          <w:rFonts w:ascii="Arial" w:hAnsi="Arial" w:cs="Arial"/>
          <w:sz w:val="20"/>
          <w:szCs w:val="20"/>
        </w:rPr>
        <w:br/>
      </w:r>
      <w:r w:rsidRPr="00EA6489">
        <w:rPr>
          <w:rFonts w:ascii="Arial" w:hAnsi="Arial" w:cs="Arial"/>
          <w:sz w:val="20"/>
          <w:szCs w:val="20"/>
          <w:u w:val="single"/>
        </w:rPr>
        <w:t>__________________________________________________________________</w:t>
      </w:r>
      <w:r w:rsidRPr="00EA6489">
        <w:rPr>
          <w:rFonts w:ascii="Arial" w:hAnsi="Arial" w:cs="Arial"/>
          <w:sz w:val="20"/>
          <w:szCs w:val="20"/>
        </w:rPr>
        <w:t>_</w:t>
      </w:r>
    </w:p>
    <w:p w:rsidR="00EA6489" w:rsidRPr="00EA6489" w:rsidRDefault="00EA6489" w:rsidP="00EA6489">
      <w:pPr>
        <w:ind w:left="851"/>
        <w:rPr>
          <w:rFonts w:ascii="Arial" w:hAnsi="Arial" w:cs="Arial"/>
          <w:sz w:val="20"/>
          <w:szCs w:val="20"/>
          <w:u w:val="single"/>
        </w:rPr>
      </w:pPr>
    </w:p>
    <w:p w:rsidR="00EA6489" w:rsidRPr="00EA6489" w:rsidRDefault="00EA6489" w:rsidP="00EA6489">
      <w:pPr>
        <w:pStyle w:val="Listenabsatz"/>
        <w:numPr>
          <w:ilvl w:val="0"/>
          <w:numId w:val="5"/>
        </w:numPr>
        <w:ind w:left="851" w:hanging="425"/>
        <w:rPr>
          <w:rFonts w:ascii="Arial" w:hAnsi="Arial" w:cs="Arial"/>
          <w:sz w:val="20"/>
          <w:szCs w:val="20"/>
        </w:rPr>
      </w:pPr>
      <w:r w:rsidRPr="00EA6489">
        <w:rPr>
          <w:rFonts w:ascii="Arial" w:hAnsi="Arial" w:cs="Arial"/>
          <w:sz w:val="20"/>
          <w:szCs w:val="20"/>
        </w:rPr>
        <w:t>Informationen über die Gründe für das geplante oder durchgeführte Mandat:</w:t>
      </w:r>
    </w:p>
    <w:p w:rsidR="00EA6489" w:rsidRPr="00EA6489" w:rsidRDefault="00EA6489" w:rsidP="00EA6489">
      <w:pPr>
        <w:pStyle w:val="Listenabsatz"/>
        <w:spacing w:after="0" w:line="240" w:lineRule="auto"/>
        <w:ind w:left="851"/>
        <w:rPr>
          <w:rFonts w:ascii="Arial" w:hAnsi="Arial" w:cs="Arial"/>
          <w:sz w:val="20"/>
          <w:szCs w:val="20"/>
        </w:rPr>
      </w:pPr>
    </w:p>
    <w:p w:rsidR="00EA6489" w:rsidRPr="00EA6489" w:rsidRDefault="00EA6489" w:rsidP="00EA6489">
      <w:pPr>
        <w:pStyle w:val="Listenabsatz"/>
        <w:spacing w:after="0" w:line="240" w:lineRule="auto"/>
        <w:ind w:left="851"/>
        <w:rPr>
          <w:rFonts w:ascii="Arial" w:hAnsi="Arial" w:cs="Arial"/>
          <w:sz w:val="20"/>
          <w:szCs w:val="20"/>
        </w:rPr>
      </w:pPr>
      <w:r w:rsidRPr="00EA6489">
        <w:rPr>
          <w:rFonts w:ascii="Arial" w:hAnsi="Arial" w:cs="Arial"/>
          <w:sz w:val="20"/>
          <w:szCs w:val="20"/>
          <w:u w:val="single"/>
        </w:rPr>
        <w:t>___________________________________________________________________</w:t>
      </w:r>
    </w:p>
    <w:p w:rsidR="00EA6489" w:rsidRPr="00EA6489" w:rsidRDefault="00EA6489" w:rsidP="00EA6489">
      <w:pPr>
        <w:ind w:left="851"/>
        <w:rPr>
          <w:rFonts w:ascii="Arial" w:hAnsi="Arial" w:cs="Arial"/>
          <w:sz w:val="20"/>
          <w:szCs w:val="20"/>
        </w:rPr>
      </w:pPr>
    </w:p>
    <w:p w:rsidR="00EA6489" w:rsidRPr="00EA6489" w:rsidRDefault="00EA6489" w:rsidP="00EA6489">
      <w:pPr>
        <w:pStyle w:val="Listenabsatz"/>
        <w:numPr>
          <w:ilvl w:val="0"/>
          <w:numId w:val="5"/>
        </w:numPr>
        <w:ind w:left="851" w:hanging="425"/>
        <w:rPr>
          <w:rFonts w:ascii="Arial" w:hAnsi="Arial" w:cs="Arial"/>
          <w:sz w:val="20"/>
          <w:szCs w:val="20"/>
        </w:rPr>
      </w:pPr>
      <w:r w:rsidRPr="00EA6489">
        <w:rPr>
          <w:rFonts w:ascii="Arial" w:hAnsi="Arial" w:cs="Arial"/>
          <w:sz w:val="20"/>
          <w:szCs w:val="20"/>
        </w:rPr>
        <w:t>Informationen über die geplante Verwendung der Vermögenswerte, die im Rahmen der Mandatsbeziehung oder eines Einzelmandates eingesetzt werden, soweit dies zur Beurteilung der Gefahr von Terrorismusfinanzierung erforderlich ist:</w:t>
      </w:r>
    </w:p>
    <w:p w:rsidR="00EA6489" w:rsidRPr="00EA6489" w:rsidRDefault="00EA6489" w:rsidP="00EA6489">
      <w:pPr>
        <w:pStyle w:val="Listenabsatz"/>
        <w:spacing w:after="0" w:line="240" w:lineRule="auto"/>
        <w:ind w:left="851"/>
        <w:rPr>
          <w:rFonts w:ascii="Arial" w:hAnsi="Arial" w:cs="Arial"/>
          <w:sz w:val="20"/>
          <w:szCs w:val="20"/>
          <w:u w:val="single"/>
        </w:rPr>
      </w:pPr>
    </w:p>
    <w:p w:rsidR="00EA6489" w:rsidRPr="00EA6489" w:rsidRDefault="00EA6489" w:rsidP="00EA6489">
      <w:pPr>
        <w:pStyle w:val="Listenabsatz"/>
        <w:ind w:left="851"/>
        <w:rPr>
          <w:rFonts w:ascii="Arial" w:hAnsi="Arial" w:cs="Arial"/>
          <w:sz w:val="20"/>
          <w:szCs w:val="20"/>
        </w:rPr>
      </w:pPr>
      <w:r w:rsidRPr="00EA6489">
        <w:rPr>
          <w:rFonts w:ascii="Arial" w:hAnsi="Arial" w:cs="Arial"/>
          <w:sz w:val="20"/>
          <w:szCs w:val="20"/>
          <w:u w:val="single"/>
        </w:rPr>
        <w:t>_________________________________________________________________</w:t>
      </w:r>
      <w:r w:rsidRPr="00EA6489">
        <w:rPr>
          <w:rFonts w:ascii="Arial" w:hAnsi="Arial" w:cs="Arial"/>
          <w:sz w:val="20"/>
          <w:szCs w:val="20"/>
        </w:rPr>
        <w:t>__</w:t>
      </w:r>
      <w:r w:rsidRPr="00EA6489">
        <w:rPr>
          <w:rFonts w:ascii="Arial" w:hAnsi="Arial" w:cs="Arial"/>
          <w:sz w:val="20"/>
          <w:szCs w:val="20"/>
        </w:rPr>
        <w:br/>
      </w:r>
    </w:p>
    <w:p w:rsidR="00EA6489" w:rsidRPr="00EA6489" w:rsidRDefault="00EA6489" w:rsidP="00EA6489">
      <w:pPr>
        <w:pStyle w:val="Listenabsatz"/>
        <w:spacing w:after="0" w:line="240" w:lineRule="auto"/>
        <w:ind w:left="851"/>
        <w:rPr>
          <w:rFonts w:ascii="Arial" w:hAnsi="Arial" w:cs="Arial"/>
          <w:sz w:val="20"/>
          <w:szCs w:val="20"/>
        </w:rPr>
      </w:pPr>
    </w:p>
    <w:p w:rsidR="00EA6489" w:rsidRPr="00EA6489" w:rsidRDefault="00EA6489" w:rsidP="00156E80">
      <w:pPr>
        <w:ind w:left="851"/>
        <w:rPr>
          <w:rFonts w:ascii="Arial" w:hAnsi="Arial" w:cs="Arial"/>
          <w:sz w:val="20"/>
          <w:szCs w:val="20"/>
        </w:rPr>
      </w:pPr>
      <w:r w:rsidRPr="00EA6489">
        <w:rPr>
          <w:rFonts w:ascii="Arial" w:hAnsi="Arial" w:cs="Arial"/>
          <w:b/>
          <w:sz w:val="20"/>
          <w:szCs w:val="20"/>
        </w:rPr>
        <w:t>Hinweis:</w:t>
      </w:r>
      <w:r w:rsidRPr="00EA6489">
        <w:rPr>
          <w:rFonts w:ascii="Arial" w:hAnsi="Arial" w:cs="Arial"/>
          <w:sz w:val="20"/>
          <w:szCs w:val="20"/>
        </w:rPr>
        <w:t xml:space="preserve"> </w:t>
      </w:r>
      <w:r w:rsidRPr="00EA6489">
        <w:rPr>
          <w:rFonts w:ascii="Arial" w:hAnsi="Arial" w:cs="Arial"/>
          <w:sz w:val="20"/>
          <w:szCs w:val="20"/>
        </w:rPr>
        <w:br/>
        <w:t xml:space="preserve">Eine Anordnung der </w:t>
      </w:r>
      <w:r w:rsidRPr="00156E80">
        <w:rPr>
          <w:rFonts w:ascii="Arial" w:hAnsi="Arial" w:cs="Arial"/>
          <w:sz w:val="20"/>
          <w:szCs w:val="20"/>
        </w:rPr>
        <w:t xml:space="preserve">StBK </w:t>
      </w:r>
      <w:r w:rsidRPr="00156E80">
        <w:rPr>
          <w:rFonts w:ascii="Arial" w:hAnsi="Arial" w:cs="Arial"/>
          <w:sz w:val="20"/>
          <w:szCs w:val="20"/>
        </w:rPr>
        <w:t>des Freistaates Sachsen</w:t>
      </w:r>
      <w:r w:rsidRPr="00EA6489">
        <w:rPr>
          <w:rFonts w:ascii="Arial" w:hAnsi="Arial" w:cs="Arial"/>
          <w:sz w:val="20"/>
          <w:szCs w:val="20"/>
        </w:rPr>
        <w:t xml:space="preserve"> nach § 15 Abs. 5a GwG liegt aktuell nicht vor.</w:t>
      </w:r>
      <w:r w:rsidRPr="00EA6489">
        <w:rPr>
          <w:rFonts w:ascii="Arial" w:hAnsi="Arial" w:cs="Arial"/>
          <w:sz w:val="20"/>
          <w:szCs w:val="20"/>
        </w:rPr>
        <w:br/>
      </w:r>
    </w:p>
    <w:p w:rsidR="00EA6489" w:rsidRPr="00EA6489" w:rsidRDefault="00EA6489" w:rsidP="00EA6489">
      <w:pPr>
        <w:pStyle w:val="Listenabsatz"/>
        <w:numPr>
          <w:ilvl w:val="0"/>
          <w:numId w:val="4"/>
        </w:numPr>
        <w:spacing w:after="0" w:line="240" w:lineRule="auto"/>
        <w:ind w:left="426" w:hanging="426"/>
        <w:rPr>
          <w:rFonts w:ascii="Arial" w:hAnsi="Arial" w:cs="Arial"/>
          <w:sz w:val="20"/>
          <w:szCs w:val="20"/>
        </w:rPr>
      </w:pPr>
      <w:r w:rsidRPr="00EA6489">
        <w:rPr>
          <w:rFonts w:ascii="Arial" w:hAnsi="Arial" w:cs="Arial"/>
          <w:b/>
          <w:sz w:val="20"/>
          <w:szCs w:val="20"/>
        </w:rPr>
        <w:t>Zusätzliche Maßnahmen</w:t>
      </w:r>
      <w:r w:rsidRPr="00EA6489">
        <w:rPr>
          <w:rFonts w:ascii="Arial" w:hAnsi="Arial" w:cs="Arial"/>
          <w:sz w:val="20"/>
          <w:szCs w:val="20"/>
        </w:rPr>
        <w:t xml:space="preserve"> nach § 15 Abs. 6 GwG </w:t>
      </w:r>
      <w:r w:rsidRPr="00EA6489">
        <w:rPr>
          <w:rFonts w:ascii="Arial" w:hAnsi="Arial" w:cs="Arial"/>
          <w:b/>
          <w:sz w:val="20"/>
          <w:szCs w:val="20"/>
        </w:rPr>
        <w:t>bei ungewöhnlichen bzw. auffälligen Einzelmandaten</w:t>
      </w:r>
      <w:r w:rsidRPr="00EA6489">
        <w:rPr>
          <w:rFonts w:ascii="Arial" w:hAnsi="Arial" w:cs="Arial"/>
          <w:sz w:val="20"/>
          <w:szCs w:val="20"/>
        </w:rPr>
        <w:t xml:space="preserve"> gemäß § 15 Abs. 3 Nr. 3 GwG (oben Ziffer A.1.c)) </w:t>
      </w:r>
    </w:p>
    <w:p w:rsidR="00EA6489" w:rsidRPr="00EA6489" w:rsidRDefault="00EA6489" w:rsidP="00EA6489">
      <w:pPr>
        <w:spacing w:after="0" w:line="240" w:lineRule="auto"/>
        <w:ind w:left="1276"/>
        <w:rPr>
          <w:rFonts w:ascii="Arial" w:hAnsi="Arial" w:cs="Arial"/>
          <w:sz w:val="20"/>
          <w:szCs w:val="20"/>
        </w:rPr>
      </w:pPr>
    </w:p>
    <w:p w:rsidR="00EA6489" w:rsidRPr="00EA6489" w:rsidRDefault="00EA6489" w:rsidP="00EA6489">
      <w:pPr>
        <w:pStyle w:val="Listenabsatz"/>
        <w:spacing w:after="0" w:line="240" w:lineRule="auto"/>
        <w:ind w:left="426"/>
        <w:rPr>
          <w:rFonts w:ascii="Arial" w:hAnsi="Arial" w:cs="Arial"/>
          <w:sz w:val="20"/>
          <w:szCs w:val="20"/>
        </w:rPr>
      </w:pPr>
      <w:r w:rsidRPr="00EA6489">
        <w:rPr>
          <w:rFonts w:ascii="Arial" w:hAnsi="Arial" w:cs="Arial"/>
          <w:sz w:val="20"/>
          <w:szCs w:val="20"/>
        </w:rPr>
        <w:t>Die Untersuchung des Einzelmandates sowie dessen Hintergrundes und Zweckes</w:t>
      </w:r>
      <w:r w:rsidRPr="00EA6489">
        <w:rPr>
          <w:rFonts w:ascii="Arial" w:hAnsi="Arial" w:cs="Arial"/>
          <w:sz w:val="20"/>
          <w:szCs w:val="20"/>
        </w:rPr>
        <w:br/>
        <w:t>hat Folgendes ergeben:</w:t>
      </w:r>
    </w:p>
    <w:p w:rsidR="00EA6489" w:rsidRPr="00EA6489" w:rsidRDefault="00EA6489" w:rsidP="00EA6489">
      <w:pPr>
        <w:pStyle w:val="Listenabsatz"/>
        <w:spacing w:after="0" w:line="240" w:lineRule="auto"/>
        <w:ind w:left="426"/>
        <w:rPr>
          <w:rFonts w:ascii="Arial" w:hAnsi="Arial" w:cs="Arial"/>
          <w:sz w:val="20"/>
          <w:szCs w:val="20"/>
        </w:rPr>
      </w:pPr>
    </w:p>
    <w:p w:rsidR="00EA6489" w:rsidRPr="00EA6489" w:rsidRDefault="00EA6489" w:rsidP="00EA6489">
      <w:pPr>
        <w:pStyle w:val="Listenabsatz"/>
        <w:spacing w:after="0" w:line="240" w:lineRule="auto"/>
        <w:ind w:left="426"/>
        <w:rPr>
          <w:rFonts w:ascii="Arial" w:hAnsi="Arial" w:cs="Arial"/>
          <w:sz w:val="20"/>
          <w:szCs w:val="20"/>
        </w:rPr>
      </w:pPr>
      <w:r w:rsidRPr="00EA6489">
        <w:rPr>
          <w:rFonts w:ascii="Arial" w:hAnsi="Arial" w:cs="Arial"/>
          <w:sz w:val="20"/>
          <w:szCs w:val="20"/>
        </w:rPr>
        <w:t>______________________________________________________________________</w:t>
      </w:r>
    </w:p>
    <w:p w:rsidR="00EA6489" w:rsidRPr="00EA6489" w:rsidRDefault="00EA6489" w:rsidP="00EA6489">
      <w:pPr>
        <w:pStyle w:val="Listenabsatz"/>
        <w:spacing w:after="0" w:line="240" w:lineRule="auto"/>
        <w:ind w:left="426"/>
        <w:rPr>
          <w:rFonts w:ascii="Arial" w:hAnsi="Arial" w:cs="Arial"/>
          <w:sz w:val="20"/>
          <w:szCs w:val="20"/>
        </w:rPr>
      </w:pPr>
      <w:r w:rsidRPr="00EA6489">
        <w:rPr>
          <w:rFonts w:ascii="Arial" w:hAnsi="Arial" w:cs="Arial"/>
          <w:sz w:val="20"/>
          <w:szCs w:val="20"/>
        </w:rPr>
        <w:br/>
        <w:t>______________________________________________________________________</w:t>
      </w:r>
    </w:p>
    <w:p w:rsidR="00EA6489" w:rsidRPr="00EA6489" w:rsidRDefault="00EA6489" w:rsidP="00EA6489">
      <w:pPr>
        <w:pStyle w:val="Listenabsatz"/>
        <w:spacing w:after="0" w:line="240" w:lineRule="auto"/>
        <w:ind w:left="426"/>
        <w:rPr>
          <w:rFonts w:ascii="Arial" w:hAnsi="Arial" w:cs="Arial"/>
          <w:sz w:val="20"/>
          <w:szCs w:val="20"/>
          <w:u w:val="single"/>
        </w:rPr>
      </w:pPr>
    </w:p>
    <w:p w:rsidR="00EA6489" w:rsidRPr="00EA6489" w:rsidRDefault="00EA6489" w:rsidP="00EA6489">
      <w:pPr>
        <w:spacing w:after="0" w:line="240" w:lineRule="auto"/>
        <w:ind w:left="426"/>
        <w:rPr>
          <w:rFonts w:ascii="Arial" w:hAnsi="Arial" w:cs="Arial"/>
          <w:sz w:val="20"/>
          <w:szCs w:val="20"/>
        </w:rPr>
      </w:pPr>
      <w:r w:rsidRPr="00EA6489">
        <w:rPr>
          <w:rFonts w:ascii="Arial" w:hAnsi="Arial" w:cs="Arial"/>
          <w:b/>
          <w:sz w:val="20"/>
          <w:szCs w:val="20"/>
        </w:rPr>
        <w:t>Hinweis</w:t>
      </w:r>
      <w:r w:rsidRPr="00EA6489">
        <w:rPr>
          <w:rFonts w:ascii="Arial" w:hAnsi="Arial" w:cs="Arial"/>
          <w:sz w:val="20"/>
          <w:szCs w:val="20"/>
        </w:rPr>
        <w:t xml:space="preserve">: </w:t>
      </w:r>
      <w:r w:rsidRPr="00EA6489">
        <w:rPr>
          <w:rFonts w:ascii="Arial" w:hAnsi="Arial" w:cs="Arial"/>
          <w:sz w:val="20"/>
          <w:szCs w:val="20"/>
        </w:rPr>
        <w:br/>
        <w:t>Meldepflicht für Abgabe einer Verdachtsmeldung (§ 43 Abs. 1 GwG) prüfen.</w:t>
      </w:r>
    </w:p>
    <w:p w:rsidR="00EA6489" w:rsidRPr="00EA6489" w:rsidRDefault="00EA6489" w:rsidP="00EA6489">
      <w:pPr>
        <w:ind w:left="426"/>
        <w:rPr>
          <w:rFonts w:ascii="Arial" w:hAnsi="Arial" w:cs="Arial"/>
          <w:sz w:val="20"/>
          <w:szCs w:val="20"/>
        </w:rPr>
      </w:pPr>
    </w:p>
    <w:p w:rsidR="00EA6489" w:rsidRPr="00EA6489" w:rsidRDefault="00EA6489" w:rsidP="00EA6489">
      <w:pPr>
        <w:pStyle w:val="Listenabsatz"/>
        <w:numPr>
          <w:ilvl w:val="0"/>
          <w:numId w:val="4"/>
        </w:numPr>
        <w:spacing w:after="0" w:line="240" w:lineRule="auto"/>
        <w:ind w:left="426" w:hanging="426"/>
        <w:rPr>
          <w:rFonts w:ascii="Arial" w:hAnsi="Arial" w:cs="Arial"/>
          <w:sz w:val="20"/>
          <w:szCs w:val="20"/>
        </w:rPr>
      </w:pPr>
      <w:r w:rsidRPr="00EA6489">
        <w:rPr>
          <w:rFonts w:ascii="Arial" w:hAnsi="Arial" w:cs="Arial"/>
          <w:b/>
          <w:sz w:val="20"/>
          <w:szCs w:val="20"/>
        </w:rPr>
        <w:lastRenderedPageBreak/>
        <w:t>Zusätzliche Maßnahmen</w:t>
      </w:r>
      <w:r w:rsidRPr="00EA6489">
        <w:rPr>
          <w:rFonts w:ascii="Arial" w:hAnsi="Arial" w:cs="Arial"/>
          <w:sz w:val="20"/>
          <w:szCs w:val="20"/>
        </w:rPr>
        <w:t xml:space="preserve"> nach § 15 Abs. 4 GwG </w:t>
      </w:r>
      <w:r w:rsidRPr="00EA6489">
        <w:rPr>
          <w:rFonts w:ascii="Arial" w:hAnsi="Arial" w:cs="Arial"/>
          <w:b/>
          <w:sz w:val="20"/>
          <w:szCs w:val="20"/>
        </w:rPr>
        <w:t xml:space="preserve">bei höherem Geldwäscherisiko </w:t>
      </w:r>
      <w:r w:rsidRPr="00EA6489">
        <w:rPr>
          <w:rFonts w:ascii="Arial" w:hAnsi="Arial" w:cs="Arial"/>
          <w:b/>
          <w:sz w:val="20"/>
          <w:szCs w:val="20"/>
        </w:rPr>
        <w:br/>
        <w:t>gemäß § 15 Abs. 2 GwG und den Anlagen 1 und 2 zum GwG</w:t>
      </w:r>
      <w:r w:rsidRPr="00EA6489">
        <w:rPr>
          <w:rFonts w:ascii="Arial" w:hAnsi="Arial" w:cs="Arial"/>
          <w:sz w:val="20"/>
          <w:szCs w:val="20"/>
        </w:rPr>
        <w:t xml:space="preserve"> (oben Ziffer A.2.): </w:t>
      </w:r>
    </w:p>
    <w:p w:rsidR="00EA6489" w:rsidRPr="00EA6489" w:rsidRDefault="00EA6489" w:rsidP="00EA6489">
      <w:pPr>
        <w:spacing w:after="0" w:line="240" w:lineRule="auto"/>
        <w:ind w:left="426"/>
        <w:rPr>
          <w:rFonts w:ascii="Arial" w:hAnsi="Arial" w:cs="Arial"/>
          <w:sz w:val="20"/>
          <w:szCs w:val="20"/>
        </w:rPr>
      </w:pPr>
    </w:p>
    <w:p w:rsidR="00EA6489" w:rsidRPr="00EA6489" w:rsidRDefault="00EA6489" w:rsidP="00EA6489">
      <w:pPr>
        <w:pStyle w:val="Listenabsatz"/>
        <w:spacing w:after="0" w:line="240" w:lineRule="auto"/>
        <w:ind w:left="426"/>
        <w:rPr>
          <w:rFonts w:ascii="Arial" w:hAnsi="Arial" w:cs="Arial"/>
          <w:sz w:val="20"/>
          <w:szCs w:val="20"/>
        </w:rPr>
      </w:pPr>
      <w:r w:rsidRPr="00EA6489">
        <w:rPr>
          <w:rFonts w:ascii="Arial" w:hAnsi="Arial" w:cs="Arial"/>
          <w:sz w:val="20"/>
          <w:szCs w:val="20"/>
        </w:rPr>
        <w:t xml:space="preserve">Information zur Herkunft </w:t>
      </w:r>
      <w:r w:rsidRPr="00EA6489">
        <w:rPr>
          <w:rFonts w:ascii="Arial" w:hAnsi="Arial" w:cs="Arial"/>
          <w:sz w:val="20"/>
          <w:szCs w:val="20"/>
        </w:rPr>
        <w:br/>
        <w:t>der Vermögenswerte des Mandanten für dessen (unternehmerische) Tätigkeit:</w:t>
      </w:r>
      <w:r w:rsidRPr="00EA6489">
        <w:rPr>
          <w:rFonts w:ascii="Arial" w:hAnsi="Arial" w:cs="Arial"/>
          <w:sz w:val="20"/>
          <w:szCs w:val="20"/>
        </w:rPr>
        <w:tab/>
      </w:r>
    </w:p>
    <w:p w:rsidR="00EA6489" w:rsidRPr="00EA6489" w:rsidRDefault="00EA6489" w:rsidP="00EA6489">
      <w:pPr>
        <w:pStyle w:val="Listenabsatz"/>
        <w:spacing w:after="0" w:line="240" w:lineRule="auto"/>
        <w:ind w:left="426"/>
        <w:rPr>
          <w:rFonts w:ascii="Arial" w:hAnsi="Arial" w:cs="Arial"/>
          <w:sz w:val="20"/>
          <w:szCs w:val="20"/>
          <w:u w:val="single"/>
        </w:rPr>
      </w:pPr>
    </w:p>
    <w:p w:rsidR="00EA6489" w:rsidRPr="00EA6489" w:rsidRDefault="00EA6489" w:rsidP="00EA6489">
      <w:pPr>
        <w:pStyle w:val="Listenabsatz"/>
        <w:spacing w:after="0" w:line="240" w:lineRule="auto"/>
        <w:ind w:left="426"/>
        <w:rPr>
          <w:rFonts w:ascii="Arial" w:hAnsi="Arial" w:cs="Arial"/>
          <w:sz w:val="20"/>
          <w:szCs w:val="20"/>
          <w:u w:val="single"/>
        </w:rPr>
      </w:pPr>
      <w:r w:rsidRPr="00EA6489">
        <w:rPr>
          <w:rFonts w:ascii="Arial" w:hAnsi="Arial" w:cs="Arial"/>
          <w:sz w:val="20"/>
          <w:szCs w:val="20"/>
          <w:u w:val="single"/>
        </w:rPr>
        <w:t>______________________________________________________________________</w:t>
      </w:r>
    </w:p>
    <w:p w:rsidR="00EA6489" w:rsidRPr="00EA6489" w:rsidRDefault="00EA6489" w:rsidP="00EA6489">
      <w:pPr>
        <w:pStyle w:val="Listenabsatz"/>
        <w:spacing w:after="0" w:line="360" w:lineRule="auto"/>
        <w:ind w:left="426"/>
        <w:rPr>
          <w:rFonts w:ascii="Arial" w:hAnsi="Arial" w:cs="Arial"/>
          <w:sz w:val="20"/>
          <w:szCs w:val="20"/>
          <w:u w:val="single"/>
        </w:rPr>
      </w:pPr>
    </w:p>
    <w:p w:rsidR="00EA6489" w:rsidRPr="00EA6489" w:rsidRDefault="00EA6489" w:rsidP="00EA6489">
      <w:pPr>
        <w:pStyle w:val="Listenabsatz"/>
        <w:spacing w:after="0" w:line="240" w:lineRule="auto"/>
        <w:ind w:left="426"/>
        <w:rPr>
          <w:rFonts w:ascii="Arial" w:hAnsi="Arial" w:cs="Arial"/>
          <w:sz w:val="20"/>
          <w:szCs w:val="20"/>
          <w:u w:val="single"/>
        </w:rPr>
      </w:pPr>
      <w:r w:rsidRPr="00EA6489">
        <w:rPr>
          <w:rFonts w:ascii="Arial" w:hAnsi="Arial" w:cs="Arial"/>
          <w:sz w:val="20"/>
          <w:szCs w:val="20"/>
          <w:u w:val="single"/>
        </w:rPr>
        <w:t>Sonstige angemessene Maßnahmen:</w:t>
      </w:r>
    </w:p>
    <w:p w:rsidR="00EA6489" w:rsidRPr="00EA6489" w:rsidRDefault="00EA6489" w:rsidP="00EA6489">
      <w:pPr>
        <w:pStyle w:val="Listenabsatz"/>
        <w:spacing w:after="0" w:line="240" w:lineRule="auto"/>
        <w:ind w:left="426"/>
        <w:rPr>
          <w:rFonts w:ascii="Arial" w:hAnsi="Arial" w:cs="Arial"/>
          <w:sz w:val="20"/>
          <w:szCs w:val="20"/>
          <w:u w:val="single"/>
        </w:rPr>
      </w:pPr>
    </w:p>
    <w:p w:rsidR="00EA6489" w:rsidRPr="00EA6489" w:rsidRDefault="00EA6489" w:rsidP="00EA6489">
      <w:pPr>
        <w:pStyle w:val="Listenabsatz"/>
        <w:spacing w:after="0" w:line="240" w:lineRule="auto"/>
        <w:ind w:left="426"/>
        <w:rPr>
          <w:rFonts w:ascii="Arial" w:hAnsi="Arial" w:cs="Arial"/>
          <w:sz w:val="20"/>
          <w:szCs w:val="20"/>
          <w:u w:val="single"/>
        </w:rPr>
      </w:pPr>
      <w:r w:rsidRPr="00EA6489">
        <w:rPr>
          <w:rFonts w:ascii="Arial" w:hAnsi="Arial" w:cs="Arial"/>
          <w:sz w:val="20"/>
          <w:szCs w:val="20"/>
          <w:u w:val="single"/>
        </w:rPr>
        <w:t>______________________________________________________________________</w:t>
      </w:r>
    </w:p>
    <w:p w:rsidR="00EA6489" w:rsidRPr="005E172B" w:rsidRDefault="00EA6489" w:rsidP="00EA6489">
      <w:pPr>
        <w:pStyle w:val="Listenabsatz"/>
        <w:spacing w:after="0" w:line="240" w:lineRule="auto"/>
        <w:ind w:left="851"/>
        <w:rPr>
          <w:rFonts w:ascii="Arial" w:hAnsi="Arial" w:cs="Arial"/>
          <w:u w:val="single"/>
        </w:rPr>
      </w:pPr>
    </w:p>
    <w:p w:rsidR="00EA6489" w:rsidRDefault="00EA6489" w:rsidP="00EA6489">
      <w:pPr>
        <w:spacing w:after="0" w:line="240" w:lineRule="auto"/>
        <w:ind w:left="851"/>
        <w:rPr>
          <w:rFonts w:ascii="Arial" w:hAnsi="Arial" w:cs="Arial"/>
        </w:rPr>
      </w:pPr>
    </w:p>
    <w:p w:rsidR="00EA6489" w:rsidRPr="005E172B" w:rsidRDefault="00EA6489" w:rsidP="00EA6489">
      <w:pPr>
        <w:spacing w:after="0" w:line="240" w:lineRule="auto"/>
        <w:ind w:left="851"/>
        <w:rPr>
          <w:rFonts w:ascii="Arial" w:hAnsi="Arial" w:cs="Arial"/>
        </w:rPr>
      </w:pPr>
    </w:p>
    <w:p w:rsidR="00EA6489" w:rsidRPr="00156E80" w:rsidRDefault="00EA6489" w:rsidP="00EA6489">
      <w:pPr>
        <w:pStyle w:val="Listenabsatz"/>
        <w:numPr>
          <w:ilvl w:val="0"/>
          <w:numId w:val="1"/>
        </w:numPr>
        <w:spacing w:after="0" w:line="240" w:lineRule="auto"/>
        <w:ind w:left="567" w:hanging="567"/>
        <w:rPr>
          <w:rFonts w:ascii="Arial" w:hAnsi="Arial" w:cs="Arial"/>
          <w:b/>
          <w:szCs w:val="24"/>
        </w:rPr>
      </w:pPr>
      <w:r w:rsidRPr="00156E80">
        <w:rPr>
          <w:rFonts w:ascii="Arial" w:hAnsi="Arial" w:cs="Arial"/>
          <w:b/>
          <w:szCs w:val="24"/>
        </w:rPr>
        <w:t>Überwachung der Umsetzung der verstärkten Sorgfaltsmaßnahmen</w:t>
      </w:r>
    </w:p>
    <w:p w:rsidR="00EA6489" w:rsidRPr="009E1F92" w:rsidRDefault="00EA6489" w:rsidP="00EA6489">
      <w:pPr>
        <w:spacing w:after="0" w:line="240" w:lineRule="auto"/>
        <w:rPr>
          <w:rFonts w:ascii="Arial" w:hAnsi="Arial" w:cs="Arial"/>
          <w:sz w:val="24"/>
          <w:szCs w:val="24"/>
        </w:rPr>
      </w:pPr>
    </w:p>
    <w:p w:rsidR="00EA6489" w:rsidRPr="00156E80" w:rsidRDefault="00EA6489" w:rsidP="00EA6489">
      <w:pPr>
        <w:pStyle w:val="Listenabsatz"/>
        <w:spacing w:after="0" w:line="240" w:lineRule="auto"/>
        <w:ind w:left="0"/>
        <w:rPr>
          <w:rFonts w:ascii="Arial" w:hAnsi="Arial" w:cs="Arial"/>
          <w:sz w:val="20"/>
          <w:u w:val="single"/>
        </w:rPr>
      </w:pPr>
      <w:r w:rsidRPr="00156E80">
        <w:rPr>
          <w:rFonts w:ascii="Arial" w:hAnsi="Arial" w:cs="Arial"/>
          <w:sz w:val="20"/>
        </w:rPr>
        <w:t>Die Mandatsbeziehung wird einer verstärkten kontinuierlichen Überwachung unterzogen, die wie folgt sichergestellt wird:</w:t>
      </w:r>
      <w:r w:rsidRPr="00156E80">
        <w:rPr>
          <w:rFonts w:ascii="Arial" w:hAnsi="Arial" w:cs="Arial"/>
          <w:sz w:val="20"/>
        </w:rPr>
        <w:br/>
      </w:r>
      <w:r w:rsidRPr="00156E80">
        <w:rPr>
          <w:rFonts w:ascii="Arial" w:hAnsi="Arial" w:cs="Arial"/>
          <w:sz w:val="20"/>
          <w:u w:val="single"/>
        </w:rPr>
        <w:t>__________________________________________________________________________</w:t>
      </w:r>
      <w:r w:rsidRPr="00156E80">
        <w:rPr>
          <w:rFonts w:ascii="Arial" w:hAnsi="Arial" w:cs="Arial"/>
          <w:sz w:val="20"/>
          <w:u w:val="single"/>
        </w:rPr>
        <w:br/>
      </w:r>
    </w:p>
    <w:p w:rsidR="00EA6489" w:rsidRPr="00156E80" w:rsidRDefault="00EA6489" w:rsidP="00EA6489">
      <w:pPr>
        <w:pStyle w:val="Listenabsatz"/>
        <w:spacing w:after="0" w:line="240" w:lineRule="auto"/>
        <w:ind w:left="0"/>
        <w:rPr>
          <w:rFonts w:ascii="Arial" w:hAnsi="Arial" w:cs="Arial"/>
          <w:sz w:val="20"/>
          <w:u w:val="single"/>
        </w:rPr>
      </w:pPr>
      <w:r w:rsidRPr="00156E80">
        <w:rPr>
          <w:rFonts w:ascii="Arial" w:hAnsi="Arial" w:cs="Arial"/>
          <w:sz w:val="20"/>
          <w:u w:val="single"/>
        </w:rPr>
        <w:t>__________________________________________________________________________</w:t>
      </w:r>
      <w:r w:rsidRPr="00156E80">
        <w:rPr>
          <w:rFonts w:ascii="Arial" w:hAnsi="Arial" w:cs="Arial"/>
          <w:sz w:val="20"/>
          <w:u w:val="single"/>
        </w:rPr>
        <w:br/>
      </w:r>
      <w:r w:rsidRPr="00156E80">
        <w:rPr>
          <w:rFonts w:ascii="Arial" w:hAnsi="Arial" w:cs="Arial"/>
          <w:sz w:val="20"/>
          <w:u w:val="single"/>
        </w:rPr>
        <w:br/>
        <w:t>__________________________________________________________________________</w:t>
      </w:r>
    </w:p>
    <w:p w:rsidR="00EA6489" w:rsidRPr="00156E80" w:rsidRDefault="00EA6489" w:rsidP="00EA6489">
      <w:pPr>
        <w:spacing w:after="0" w:line="240" w:lineRule="auto"/>
        <w:rPr>
          <w:rFonts w:ascii="Arial" w:hAnsi="Arial" w:cs="Arial"/>
          <w:sz w:val="20"/>
        </w:rPr>
      </w:pPr>
    </w:p>
    <w:p w:rsidR="00EA6489" w:rsidRPr="00156E80" w:rsidRDefault="00EA6489" w:rsidP="00EA6489">
      <w:pPr>
        <w:pStyle w:val="Listenabsatz"/>
        <w:spacing w:after="0" w:line="240" w:lineRule="auto"/>
        <w:ind w:left="851" w:hanging="851"/>
        <w:rPr>
          <w:rFonts w:ascii="Arial" w:hAnsi="Arial" w:cs="Arial"/>
          <w:sz w:val="20"/>
        </w:rPr>
      </w:pPr>
    </w:p>
    <w:p w:rsidR="00EA6489" w:rsidRPr="00156E80" w:rsidRDefault="00EA6489" w:rsidP="00EA6489">
      <w:pPr>
        <w:pStyle w:val="Listenabsatz"/>
        <w:spacing w:after="0" w:line="240" w:lineRule="auto"/>
        <w:ind w:left="851" w:hanging="851"/>
        <w:rPr>
          <w:rFonts w:ascii="Arial" w:hAnsi="Arial" w:cs="Arial"/>
          <w:sz w:val="20"/>
        </w:rPr>
      </w:pPr>
    </w:p>
    <w:p w:rsidR="00EA6489" w:rsidRPr="00156E80" w:rsidRDefault="00EA6489" w:rsidP="00EA6489">
      <w:pPr>
        <w:pStyle w:val="Listenabsatz"/>
        <w:spacing w:after="0" w:line="240" w:lineRule="auto"/>
        <w:ind w:left="851" w:hanging="851"/>
        <w:rPr>
          <w:rFonts w:ascii="Arial" w:hAnsi="Arial" w:cs="Arial"/>
          <w:sz w:val="20"/>
        </w:rPr>
      </w:pPr>
    </w:p>
    <w:p w:rsidR="00EA6489" w:rsidRPr="00156E80" w:rsidRDefault="00EA6489" w:rsidP="00EA6489">
      <w:pPr>
        <w:tabs>
          <w:tab w:val="left" w:pos="4253"/>
        </w:tabs>
        <w:spacing w:after="0" w:line="240" w:lineRule="auto"/>
        <w:rPr>
          <w:rFonts w:ascii="Arial" w:hAnsi="Arial" w:cs="Arial"/>
          <w:sz w:val="20"/>
        </w:rPr>
      </w:pPr>
    </w:p>
    <w:p w:rsidR="00EA6489" w:rsidRPr="00156E80" w:rsidRDefault="00EA6489" w:rsidP="00EA6489">
      <w:pPr>
        <w:tabs>
          <w:tab w:val="left" w:pos="4253"/>
        </w:tabs>
        <w:spacing w:after="0" w:line="240" w:lineRule="auto"/>
        <w:rPr>
          <w:rFonts w:ascii="Arial" w:hAnsi="Arial" w:cs="Arial"/>
          <w:sz w:val="20"/>
        </w:rPr>
      </w:pPr>
      <w:r w:rsidRPr="00156E80">
        <w:rPr>
          <w:rFonts w:ascii="Arial" w:hAnsi="Arial" w:cs="Arial"/>
          <w:sz w:val="20"/>
        </w:rPr>
        <w:br/>
        <w:t>_______________________</w:t>
      </w:r>
      <w:r w:rsidRPr="00156E80">
        <w:rPr>
          <w:rFonts w:ascii="Arial" w:hAnsi="Arial" w:cs="Arial"/>
          <w:sz w:val="20"/>
        </w:rPr>
        <w:tab/>
      </w:r>
      <w:r w:rsidRPr="00156E80">
        <w:rPr>
          <w:rFonts w:ascii="Arial" w:hAnsi="Arial" w:cs="Arial"/>
          <w:sz w:val="20"/>
        </w:rPr>
        <w:tab/>
        <w:t>___________________________</w:t>
      </w:r>
    </w:p>
    <w:p w:rsidR="00EA6489" w:rsidRPr="00156E80" w:rsidRDefault="00EA6489" w:rsidP="00EA6489">
      <w:pPr>
        <w:tabs>
          <w:tab w:val="left" w:pos="4253"/>
        </w:tabs>
        <w:spacing w:after="0" w:line="240" w:lineRule="auto"/>
        <w:rPr>
          <w:rFonts w:ascii="Arial" w:hAnsi="Arial" w:cs="Arial"/>
          <w:sz w:val="20"/>
        </w:rPr>
      </w:pPr>
      <w:r w:rsidRPr="00156E80">
        <w:rPr>
          <w:rFonts w:ascii="Arial" w:hAnsi="Arial" w:cs="Arial"/>
          <w:sz w:val="20"/>
        </w:rPr>
        <w:t>Ort, Datum</w:t>
      </w:r>
      <w:r w:rsidRPr="00156E80">
        <w:rPr>
          <w:rFonts w:ascii="Arial" w:hAnsi="Arial" w:cs="Arial"/>
          <w:sz w:val="20"/>
        </w:rPr>
        <w:tab/>
      </w:r>
      <w:r w:rsidR="00156E80">
        <w:rPr>
          <w:rFonts w:ascii="Arial" w:hAnsi="Arial" w:cs="Arial"/>
          <w:sz w:val="20"/>
        </w:rPr>
        <w:tab/>
      </w:r>
      <w:bookmarkStart w:id="0" w:name="_GoBack"/>
      <w:bookmarkEnd w:id="0"/>
      <w:r w:rsidRPr="00156E80">
        <w:rPr>
          <w:rFonts w:ascii="Arial" w:hAnsi="Arial" w:cs="Arial"/>
          <w:sz w:val="20"/>
        </w:rPr>
        <w:t>Bearbeiter</w:t>
      </w:r>
    </w:p>
    <w:p w:rsidR="008C72C0" w:rsidRPr="00156E80" w:rsidRDefault="008C72C0">
      <w:pPr>
        <w:rPr>
          <w:sz w:val="20"/>
        </w:rPr>
      </w:pPr>
    </w:p>
    <w:sectPr w:rsidR="008C72C0" w:rsidRPr="00156E80" w:rsidSect="00F44E6C">
      <w:headerReference w:type="default" r:id="rId7"/>
      <w:footerReference w:type="default" r:id="rId8"/>
      <w:headerReference w:type="first" r:id="rId9"/>
      <w:pgSz w:w="11906" w:h="16838"/>
      <w:pgMar w:top="284" w:right="1418" w:bottom="28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489" w:rsidRDefault="00EA6489" w:rsidP="00EA6489">
      <w:pPr>
        <w:spacing w:after="0" w:line="240" w:lineRule="auto"/>
      </w:pPr>
      <w:r>
        <w:separator/>
      </w:r>
    </w:p>
  </w:endnote>
  <w:endnote w:type="continuationSeparator" w:id="0">
    <w:p w:rsidR="00EA6489" w:rsidRDefault="00EA6489" w:rsidP="00EA6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1897423184"/>
      <w:docPartObj>
        <w:docPartGallery w:val="Page Numbers (Bottom of Page)"/>
        <w:docPartUnique/>
      </w:docPartObj>
    </w:sdtPr>
    <w:sdtEndPr/>
    <w:sdtContent>
      <w:p w:rsidR="00752BCB" w:rsidRPr="007775A0" w:rsidRDefault="00156E80">
        <w:pPr>
          <w:pStyle w:val="Fuzeile"/>
          <w:jc w:val="center"/>
          <w:rPr>
            <w:rFonts w:ascii="Arial" w:hAnsi="Arial" w:cs="Arial"/>
          </w:rPr>
        </w:pPr>
        <w:r w:rsidRPr="00940C18">
          <w:rPr>
            <w:rFonts w:ascii="Arial" w:hAnsi="Arial" w:cs="Arial"/>
            <w:sz w:val="20"/>
            <w:szCs w:val="20"/>
          </w:rPr>
          <w:fldChar w:fldCharType="begin"/>
        </w:r>
        <w:r w:rsidRPr="00940C18">
          <w:rPr>
            <w:rFonts w:ascii="Arial" w:hAnsi="Arial" w:cs="Arial"/>
            <w:sz w:val="20"/>
            <w:szCs w:val="20"/>
          </w:rPr>
          <w:instrText>PAGE   \* MERGEFORMAT</w:instrText>
        </w:r>
        <w:r w:rsidRPr="00940C18">
          <w:rPr>
            <w:rFonts w:ascii="Arial" w:hAnsi="Arial" w:cs="Arial"/>
            <w:sz w:val="20"/>
            <w:szCs w:val="20"/>
          </w:rPr>
          <w:fldChar w:fldCharType="separate"/>
        </w:r>
        <w:r>
          <w:rPr>
            <w:rFonts w:ascii="Arial" w:hAnsi="Arial" w:cs="Arial"/>
            <w:noProof/>
            <w:sz w:val="20"/>
            <w:szCs w:val="20"/>
          </w:rPr>
          <w:t>5</w:t>
        </w:r>
        <w:r w:rsidRPr="00940C18">
          <w:rPr>
            <w:rFonts w:ascii="Arial" w:hAnsi="Arial" w:cs="Arial"/>
            <w:sz w:val="20"/>
            <w:szCs w:val="20"/>
          </w:rPr>
          <w:fldChar w:fldCharType="end"/>
        </w:r>
      </w:p>
    </w:sdtContent>
  </w:sdt>
  <w:p w:rsidR="00752BCB" w:rsidRDefault="00156E8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489" w:rsidRDefault="00EA6489" w:rsidP="00EA6489">
      <w:pPr>
        <w:spacing w:after="0" w:line="240" w:lineRule="auto"/>
      </w:pPr>
      <w:r>
        <w:separator/>
      </w:r>
    </w:p>
  </w:footnote>
  <w:footnote w:type="continuationSeparator" w:id="0">
    <w:p w:rsidR="00EA6489" w:rsidRDefault="00EA6489" w:rsidP="00EA6489">
      <w:pPr>
        <w:spacing w:after="0" w:line="240" w:lineRule="auto"/>
      </w:pPr>
      <w:r>
        <w:continuationSeparator/>
      </w:r>
    </w:p>
  </w:footnote>
  <w:footnote w:id="1">
    <w:p w:rsidR="00EA6489" w:rsidRPr="0066710E" w:rsidRDefault="00EA6489" w:rsidP="00EA6489">
      <w:pPr>
        <w:pStyle w:val="Funotentext"/>
        <w:ind w:left="142" w:hanging="142"/>
        <w:rPr>
          <w:rFonts w:ascii="Arial" w:hAnsi="Arial" w:cs="Arial"/>
          <w:sz w:val="18"/>
          <w:szCs w:val="18"/>
        </w:rPr>
      </w:pPr>
      <w:r w:rsidRPr="0066710E">
        <w:rPr>
          <w:rStyle w:val="Funotenzeichen"/>
          <w:rFonts w:ascii="Arial" w:hAnsi="Arial" w:cs="Arial"/>
          <w:sz w:val="18"/>
          <w:szCs w:val="18"/>
        </w:rPr>
        <w:footnoteRef/>
      </w:r>
      <w:r w:rsidRPr="0066710E">
        <w:rPr>
          <w:rFonts w:ascii="Arial" w:hAnsi="Arial" w:cs="Arial"/>
          <w:sz w:val="18"/>
          <w:szCs w:val="18"/>
        </w:rPr>
        <w:t xml:space="preserve"> </w:t>
      </w:r>
      <w:r w:rsidRPr="0066710E">
        <w:rPr>
          <w:rFonts w:ascii="Arial" w:hAnsi="Arial" w:cs="Arial"/>
          <w:sz w:val="18"/>
          <w:szCs w:val="18"/>
        </w:rPr>
        <w:tab/>
        <w:t xml:space="preserve">Die StBK </w:t>
      </w:r>
      <w:r>
        <w:rPr>
          <w:rFonts w:ascii="Arial" w:hAnsi="Arial" w:cs="Arial"/>
          <w:sz w:val="18"/>
          <w:szCs w:val="18"/>
        </w:rPr>
        <w:t xml:space="preserve">des Freistaates Sachsen </w:t>
      </w:r>
      <w:r w:rsidRPr="0066710E">
        <w:rPr>
          <w:rFonts w:ascii="Arial" w:hAnsi="Arial" w:cs="Arial"/>
          <w:sz w:val="18"/>
          <w:szCs w:val="18"/>
        </w:rPr>
        <w:t>möchte ihren Mitgliedern mit diesem Mustererhebungsbogen eine Arbeitshilfe zur Verfügung stellen. Es besteht keine Pflicht, diesen zu verwenden. Es sind alle Geschlechtsformen betroffen; zur besseren Übersichtlichkeit wird lediglich die männliche Geschlechtsform verwendet.</w:t>
      </w:r>
    </w:p>
  </w:footnote>
  <w:footnote w:id="2">
    <w:p w:rsidR="00EA6489" w:rsidRPr="0066710E" w:rsidRDefault="00EA6489" w:rsidP="00EA6489">
      <w:pPr>
        <w:pStyle w:val="Funotentext"/>
        <w:ind w:left="142" w:hanging="142"/>
        <w:rPr>
          <w:rFonts w:ascii="Arial" w:hAnsi="Arial" w:cs="Arial"/>
          <w:sz w:val="18"/>
          <w:szCs w:val="18"/>
        </w:rPr>
      </w:pPr>
      <w:r w:rsidRPr="0066710E">
        <w:rPr>
          <w:rStyle w:val="Funotenzeichen"/>
          <w:rFonts w:ascii="Arial" w:hAnsi="Arial" w:cs="Arial"/>
          <w:sz w:val="18"/>
          <w:szCs w:val="18"/>
        </w:rPr>
        <w:footnoteRef/>
      </w:r>
      <w:r w:rsidRPr="0066710E">
        <w:rPr>
          <w:rStyle w:val="Funotenzeichen"/>
          <w:rFonts w:ascii="Arial" w:hAnsi="Arial" w:cs="Arial"/>
          <w:sz w:val="18"/>
          <w:szCs w:val="18"/>
        </w:rPr>
        <w:t xml:space="preserve"> </w:t>
      </w:r>
      <w:r w:rsidRPr="0066710E">
        <w:rPr>
          <w:rFonts w:ascii="Arial" w:hAnsi="Arial" w:cs="Arial"/>
          <w:sz w:val="18"/>
          <w:szCs w:val="18"/>
        </w:rPr>
        <w:tab/>
        <w:t>Zur besseren Lesbarkeit wird im Folgenden einheitlich nur auf das Risiko der Geldwäsche Bezug genommen.</w:t>
      </w:r>
    </w:p>
  </w:footnote>
  <w:footnote w:id="3">
    <w:p w:rsidR="00EA6489" w:rsidRPr="00773CD6" w:rsidRDefault="00EA6489" w:rsidP="00EA6489">
      <w:pPr>
        <w:pStyle w:val="Funotentext"/>
        <w:ind w:left="142" w:hanging="142"/>
        <w:rPr>
          <w:rFonts w:ascii="Arial" w:hAnsi="Arial" w:cs="Arial"/>
          <w:sz w:val="18"/>
          <w:szCs w:val="18"/>
        </w:rPr>
      </w:pPr>
      <w:r w:rsidRPr="0066710E">
        <w:rPr>
          <w:rStyle w:val="Funotenzeichen"/>
          <w:rFonts w:ascii="Arial" w:hAnsi="Arial" w:cs="Arial"/>
          <w:sz w:val="18"/>
          <w:szCs w:val="18"/>
        </w:rPr>
        <w:footnoteRef/>
      </w:r>
      <w:r w:rsidRPr="0066710E">
        <w:rPr>
          <w:rStyle w:val="Funotenzeichen"/>
          <w:rFonts w:ascii="Arial" w:hAnsi="Arial" w:cs="Arial"/>
          <w:sz w:val="18"/>
          <w:szCs w:val="18"/>
        </w:rPr>
        <w:t xml:space="preserve"> </w:t>
      </w:r>
      <w:r w:rsidRPr="0066710E">
        <w:rPr>
          <w:rFonts w:ascii="Arial" w:hAnsi="Arial" w:cs="Arial"/>
          <w:sz w:val="18"/>
          <w:szCs w:val="18"/>
        </w:rPr>
        <w:tab/>
        <w:t>Nachfolgend werden – sofern nicht ausdrücklich anders vermerkt – mit „Mandatsbeziehung“ auch die einzelnen Mandate</w:t>
      </w:r>
      <w:r w:rsidRPr="00773CD6">
        <w:rPr>
          <w:rFonts w:ascii="Arial" w:hAnsi="Arial" w:cs="Arial"/>
          <w:sz w:val="18"/>
          <w:szCs w:val="18"/>
        </w:rPr>
        <w:t xml:space="preserve"> angesprochen, die außerhalb einer Mandatsbeziehung eingegangen werden.</w:t>
      </w:r>
    </w:p>
  </w:footnote>
  <w:footnote w:id="4">
    <w:p w:rsidR="00EA6489" w:rsidRPr="00D75F21" w:rsidRDefault="00EA6489" w:rsidP="00EA6489">
      <w:pPr>
        <w:pStyle w:val="Funotentext"/>
        <w:rPr>
          <w:rFonts w:ascii="Arial" w:hAnsi="Arial" w:cs="Arial"/>
          <w:sz w:val="18"/>
          <w:szCs w:val="18"/>
        </w:rPr>
      </w:pPr>
      <w:r w:rsidRPr="00D75F21">
        <w:rPr>
          <w:rStyle w:val="Funotenzeichen"/>
          <w:rFonts w:ascii="Arial" w:hAnsi="Arial" w:cs="Arial"/>
          <w:sz w:val="18"/>
          <w:szCs w:val="18"/>
        </w:rPr>
        <w:footnoteRef/>
      </w:r>
      <w:r w:rsidRPr="00D75F21">
        <w:rPr>
          <w:rFonts w:ascii="Arial" w:hAnsi="Arial" w:cs="Arial"/>
          <w:sz w:val="18"/>
          <w:szCs w:val="18"/>
        </w:rPr>
        <w:t xml:space="preserve"> Siehe dazu Legaldefinition § 1 Abs. 12 GwG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BCB" w:rsidRDefault="00156E80" w:rsidP="000E0DD3">
    <w:pPr>
      <w:pStyle w:val="Kopfzeile"/>
    </w:pPr>
    <w:r>
      <w:t>________________________</w:t>
    </w:r>
    <w:r>
      <w:tab/>
    </w:r>
    <w:r>
      <w:tab/>
      <w:t>________________________________</w:t>
    </w:r>
  </w:p>
  <w:p w:rsidR="00752BCB" w:rsidRPr="00EA6489" w:rsidRDefault="00156E80" w:rsidP="00ED345E">
    <w:pPr>
      <w:pStyle w:val="Kopfzeile"/>
      <w:tabs>
        <w:tab w:val="clear" w:pos="4536"/>
        <w:tab w:val="center" w:pos="6379"/>
      </w:tabs>
      <w:rPr>
        <w:rFonts w:ascii="Arial" w:hAnsi="Arial" w:cs="Arial"/>
        <w:sz w:val="20"/>
      </w:rPr>
    </w:pPr>
    <w:r w:rsidRPr="00EA6489">
      <w:rPr>
        <w:rFonts w:ascii="Arial" w:hAnsi="Arial" w:cs="Arial"/>
        <w:sz w:val="20"/>
      </w:rPr>
      <w:t>(Kanzleiname)</w:t>
    </w:r>
    <w:r w:rsidRPr="00EA6489">
      <w:rPr>
        <w:rFonts w:ascii="Arial" w:hAnsi="Arial" w:cs="Arial"/>
        <w:sz w:val="20"/>
      </w:rPr>
      <w:tab/>
      <w:t>(Mandatsnummer)</w:t>
    </w:r>
  </w:p>
  <w:p w:rsidR="00752BCB" w:rsidRPr="00EA6489" w:rsidRDefault="00156E80" w:rsidP="000E0DD3">
    <w:pPr>
      <w:pStyle w:val="Kopfzeile"/>
      <w:rPr>
        <w:rFonts w:ascii="Arial" w:hAnsi="Arial" w:cs="Arial"/>
        <w:sz w:val="20"/>
      </w:rPr>
    </w:pPr>
  </w:p>
  <w:p w:rsidR="00752BCB" w:rsidRDefault="00156E8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BCB" w:rsidRDefault="00156E80" w:rsidP="000E0DD3">
    <w:pPr>
      <w:pStyle w:val="Kopfzeile"/>
    </w:pPr>
    <w:r>
      <w:t>________________________</w:t>
    </w:r>
    <w:r>
      <w:tab/>
    </w:r>
    <w:r>
      <w:tab/>
      <w:t>________________________________</w:t>
    </w:r>
  </w:p>
  <w:p w:rsidR="00752BCB" w:rsidRPr="00EA6489" w:rsidRDefault="00EA6489" w:rsidP="00940C18">
    <w:pPr>
      <w:pStyle w:val="Kopfzeile"/>
      <w:tabs>
        <w:tab w:val="clear" w:pos="4536"/>
        <w:tab w:val="center" w:pos="6379"/>
      </w:tabs>
      <w:rPr>
        <w:rFonts w:ascii="Arial" w:hAnsi="Arial" w:cs="Arial"/>
        <w:sz w:val="20"/>
      </w:rPr>
    </w:pPr>
    <w:r>
      <w:rPr>
        <w:rFonts w:ascii="Arial" w:hAnsi="Arial" w:cs="Arial"/>
        <w:sz w:val="20"/>
      </w:rPr>
      <w:t>(Kanzleiname)</w:t>
    </w:r>
    <w:r>
      <w:rPr>
        <w:rFonts w:ascii="Arial" w:hAnsi="Arial" w:cs="Arial"/>
        <w:sz w:val="20"/>
      </w:rPr>
      <w:tab/>
    </w:r>
    <w:r w:rsidR="00156E80" w:rsidRPr="00EA6489">
      <w:rPr>
        <w:rFonts w:ascii="Arial" w:hAnsi="Arial" w:cs="Arial"/>
        <w:sz w:val="20"/>
      </w:rPr>
      <w:t>(Mandatsnummer)</w:t>
    </w:r>
  </w:p>
  <w:p w:rsidR="00752BCB" w:rsidRDefault="00156E80" w:rsidP="000E0DD3">
    <w:pPr>
      <w:pStyle w:val="Kopfzeile"/>
    </w:pPr>
  </w:p>
  <w:p w:rsidR="00752BCB" w:rsidRDefault="00156E8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17271"/>
    <w:multiLevelType w:val="hybridMultilevel"/>
    <w:tmpl w:val="65E44DC8"/>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 w15:restartNumberingAfterBreak="0">
    <w:nsid w:val="070C154D"/>
    <w:multiLevelType w:val="hybridMultilevel"/>
    <w:tmpl w:val="6FF8FAEE"/>
    <w:lvl w:ilvl="0" w:tplc="313E8AEC">
      <w:start w:val="1"/>
      <w:numFmt w:val="decimal"/>
      <w:lvlText w:val="%1."/>
      <w:lvlJc w:val="left"/>
      <w:pPr>
        <w:ind w:left="786" w:hanging="360"/>
      </w:pPr>
      <w:rPr>
        <w:rFonts w:hint="default"/>
        <w:b w:val="0"/>
      </w:rPr>
    </w:lvl>
    <w:lvl w:ilvl="1" w:tplc="04070019">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2" w15:restartNumberingAfterBreak="0">
    <w:nsid w:val="173F0BB9"/>
    <w:multiLevelType w:val="hybridMultilevel"/>
    <w:tmpl w:val="C4BC11EC"/>
    <w:lvl w:ilvl="0" w:tplc="04070001">
      <w:start w:val="1"/>
      <w:numFmt w:val="bullet"/>
      <w:lvlText w:val=""/>
      <w:lvlJc w:val="left"/>
      <w:pPr>
        <w:ind w:left="1145" w:hanging="360"/>
      </w:pPr>
      <w:rPr>
        <w:rFonts w:ascii="Symbol" w:hAnsi="Symbol" w:hint="default"/>
      </w:rPr>
    </w:lvl>
    <w:lvl w:ilvl="1" w:tplc="04070003" w:tentative="1">
      <w:start w:val="1"/>
      <w:numFmt w:val="bullet"/>
      <w:lvlText w:val="o"/>
      <w:lvlJc w:val="left"/>
      <w:pPr>
        <w:ind w:left="1865" w:hanging="360"/>
      </w:pPr>
      <w:rPr>
        <w:rFonts w:ascii="Courier New" w:hAnsi="Courier New" w:cs="Courier New" w:hint="default"/>
      </w:rPr>
    </w:lvl>
    <w:lvl w:ilvl="2" w:tplc="04070005" w:tentative="1">
      <w:start w:val="1"/>
      <w:numFmt w:val="bullet"/>
      <w:lvlText w:val=""/>
      <w:lvlJc w:val="left"/>
      <w:pPr>
        <w:ind w:left="2585" w:hanging="360"/>
      </w:pPr>
      <w:rPr>
        <w:rFonts w:ascii="Wingdings" w:hAnsi="Wingdings" w:hint="default"/>
      </w:rPr>
    </w:lvl>
    <w:lvl w:ilvl="3" w:tplc="04070001" w:tentative="1">
      <w:start w:val="1"/>
      <w:numFmt w:val="bullet"/>
      <w:lvlText w:val=""/>
      <w:lvlJc w:val="left"/>
      <w:pPr>
        <w:ind w:left="3305" w:hanging="360"/>
      </w:pPr>
      <w:rPr>
        <w:rFonts w:ascii="Symbol" w:hAnsi="Symbol" w:hint="default"/>
      </w:rPr>
    </w:lvl>
    <w:lvl w:ilvl="4" w:tplc="04070003" w:tentative="1">
      <w:start w:val="1"/>
      <w:numFmt w:val="bullet"/>
      <w:lvlText w:val="o"/>
      <w:lvlJc w:val="left"/>
      <w:pPr>
        <w:ind w:left="4025" w:hanging="360"/>
      </w:pPr>
      <w:rPr>
        <w:rFonts w:ascii="Courier New" w:hAnsi="Courier New" w:cs="Courier New" w:hint="default"/>
      </w:rPr>
    </w:lvl>
    <w:lvl w:ilvl="5" w:tplc="04070005" w:tentative="1">
      <w:start w:val="1"/>
      <w:numFmt w:val="bullet"/>
      <w:lvlText w:val=""/>
      <w:lvlJc w:val="left"/>
      <w:pPr>
        <w:ind w:left="4745" w:hanging="360"/>
      </w:pPr>
      <w:rPr>
        <w:rFonts w:ascii="Wingdings" w:hAnsi="Wingdings" w:hint="default"/>
      </w:rPr>
    </w:lvl>
    <w:lvl w:ilvl="6" w:tplc="04070001" w:tentative="1">
      <w:start w:val="1"/>
      <w:numFmt w:val="bullet"/>
      <w:lvlText w:val=""/>
      <w:lvlJc w:val="left"/>
      <w:pPr>
        <w:ind w:left="5465" w:hanging="360"/>
      </w:pPr>
      <w:rPr>
        <w:rFonts w:ascii="Symbol" w:hAnsi="Symbol" w:hint="default"/>
      </w:rPr>
    </w:lvl>
    <w:lvl w:ilvl="7" w:tplc="04070003" w:tentative="1">
      <w:start w:val="1"/>
      <w:numFmt w:val="bullet"/>
      <w:lvlText w:val="o"/>
      <w:lvlJc w:val="left"/>
      <w:pPr>
        <w:ind w:left="6185" w:hanging="360"/>
      </w:pPr>
      <w:rPr>
        <w:rFonts w:ascii="Courier New" w:hAnsi="Courier New" w:cs="Courier New" w:hint="default"/>
      </w:rPr>
    </w:lvl>
    <w:lvl w:ilvl="8" w:tplc="04070005" w:tentative="1">
      <w:start w:val="1"/>
      <w:numFmt w:val="bullet"/>
      <w:lvlText w:val=""/>
      <w:lvlJc w:val="left"/>
      <w:pPr>
        <w:ind w:left="6905" w:hanging="360"/>
      </w:pPr>
      <w:rPr>
        <w:rFonts w:ascii="Wingdings" w:hAnsi="Wingdings" w:hint="default"/>
      </w:rPr>
    </w:lvl>
  </w:abstractNum>
  <w:abstractNum w:abstractNumId="3" w15:restartNumberingAfterBreak="0">
    <w:nsid w:val="1ABF571A"/>
    <w:multiLevelType w:val="hybridMultilevel"/>
    <w:tmpl w:val="11C408F8"/>
    <w:lvl w:ilvl="0" w:tplc="7916D7C6">
      <w:start w:val="1"/>
      <w:numFmt w:val="upperLetter"/>
      <w:lvlText w:val="%1."/>
      <w:lvlJc w:val="left"/>
      <w:pPr>
        <w:ind w:left="780" w:hanging="360"/>
      </w:pPr>
      <w:rPr>
        <w:rFonts w:hint="default"/>
        <w:sz w:val="22"/>
      </w:rPr>
    </w:lvl>
    <w:lvl w:ilvl="1" w:tplc="04070019" w:tentative="1">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abstractNum w:abstractNumId="4" w15:restartNumberingAfterBreak="0">
    <w:nsid w:val="2EC61C71"/>
    <w:multiLevelType w:val="hybridMultilevel"/>
    <w:tmpl w:val="81CE2684"/>
    <w:lvl w:ilvl="0" w:tplc="79D2F2C8">
      <w:start w:val="2"/>
      <w:numFmt w:val="bullet"/>
      <w:lvlText w:val="-"/>
      <w:lvlJc w:val="left"/>
      <w:pPr>
        <w:ind w:left="1140" w:hanging="360"/>
      </w:pPr>
      <w:rPr>
        <w:rFonts w:ascii="Arial" w:eastAsiaTheme="minorEastAsia" w:hAnsi="Arial" w:cs="Arial" w:hint="default"/>
      </w:rPr>
    </w:lvl>
    <w:lvl w:ilvl="1" w:tplc="04070003" w:tentative="1">
      <w:start w:val="1"/>
      <w:numFmt w:val="bullet"/>
      <w:lvlText w:val="o"/>
      <w:lvlJc w:val="left"/>
      <w:pPr>
        <w:ind w:left="1860" w:hanging="360"/>
      </w:pPr>
      <w:rPr>
        <w:rFonts w:ascii="Courier New" w:hAnsi="Courier New" w:cs="Courier New" w:hint="default"/>
      </w:rPr>
    </w:lvl>
    <w:lvl w:ilvl="2" w:tplc="04070005" w:tentative="1">
      <w:start w:val="1"/>
      <w:numFmt w:val="bullet"/>
      <w:lvlText w:val=""/>
      <w:lvlJc w:val="left"/>
      <w:pPr>
        <w:ind w:left="2580" w:hanging="360"/>
      </w:pPr>
      <w:rPr>
        <w:rFonts w:ascii="Wingdings" w:hAnsi="Wingdings" w:hint="default"/>
      </w:rPr>
    </w:lvl>
    <w:lvl w:ilvl="3" w:tplc="04070001" w:tentative="1">
      <w:start w:val="1"/>
      <w:numFmt w:val="bullet"/>
      <w:lvlText w:val=""/>
      <w:lvlJc w:val="left"/>
      <w:pPr>
        <w:ind w:left="3300" w:hanging="360"/>
      </w:pPr>
      <w:rPr>
        <w:rFonts w:ascii="Symbol" w:hAnsi="Symbol" w:hint="default"/>
      </w:rPr>
    </w:lvl>
    <w:lvl w:ilvl="4" w:tplc="04070003" w:tentative="1">
      <w:start w:val="1"/>
      <w:numFmt w:val="bullet"/>
      <w:lvlText w:val="o"/>
      <w:lvlJc w:val="left"/>
      <w:pPr>
        <w:ind w:left="4020" w:hanging="360"/>
      </w:pPr>
      <w:rPr>
        <w:rFonts w:ascii="Courier New" w:hAnsi="Courier New" w:cs="Courier New" w:hint="default"/>
      </w:rPr>
    </w:lvl>
    <w:lvl w:ilvl="5" w:tplc="04070005" w:tentative="1">
      <w:start w:val="1"/>
      <w:numFmt w:val="bullet"/>
      <w:lvlText w:val=""/>
      <w:lvlJc w:val="left"/>
      <w:pPr>
        <w:ind w:left="4740" w:hanging="360"/>
      </w:pPr>
      <w:rPr>
        <w:rFonts w:ascii="Wingdings" w:hAnsi="Wingdings" w:hint="default"/>
      </w:rPr>
    </w:lvl>
    <w:lvl w:ilvl="6" w:tplc="04070001" w:tentative="1">
      <w:start w:val="1"/>
      <w:numFmt w:val="bullet"/>
      <w:lvlText w:val=""/>
      <w:lvlJc w:val="left"/>
      <w:pPr>
        <w:ind w:left="5460" w:hanging="360"/>
      </w:pPr>
      <w:rPr>
        <w:rFonts w:ascii="Symbol" w:hAnsi="Symbol" w:hint="default"/>
      </w:rPr>
    </w:lvl>
    <w:lvl w:ilvl="7" w:tplc="04070003" w:tentative="1">
      <w:start w:val="1"/>
      <w:numFmt w:val="bullet"/>
      <w:lvlText w:val="o"/>
      <w:lvlJc w:val="left"/>
      <w:pPr>
        <w:ind w:left="6180" w:hanging="360"/>
      </w:pPr>
      <w:rPr>
        <w:rFonts w:ascii="Courier New" w:hAnsi="Courier New" w:cs="Courier New" w:hint="default"/>
      </w:rPr>
    </w:lvl>
    <w:lvl w:ilvl="8" w:tplc="04070005" w:tentative="1">
      <w:start w:val="1"/>
      <w:numFmt w:val="bullet"/>
      <w:lvlText w:val=""/>
      <w:lvlJc w:val="left"/>
      <w:pPr>
        <w:ind w:left="6900" w:hanging="360"/>
      </w:pPr>
      <w:rPr>
        <w:rFonts w:ascii="Wingdings" w:hAnsi="Wingdings" w:hint="default"/>
      </w:rPr>
    </w:lvl>
  </w:abstractNum>
  <w:abstractNum w:abstractNumId="5" w15:restartNumberingAfterBreak="0">
    <w:nsid w:val="47637721"/>
    <w:multiLevelType w:val="hybridMultilevel"/>
    <w:tmpl w:val="DB36620E"/>
    <w:lvl w:ilvl="0" w:tplc="4E185722">
      <w:start w:val="1"/>
      <w:numFmt w:val="decimal"/>
      <w:lvlText w:val="%1."/>
      <w:lvlJc w:val="left"/>
      <w:pPr>
        <w:ind w:left="1211" w:hanging="360"/>
      </w:pPr>
      <w:rPr>
        <w:rFonts w:hint="default"/>
        <w:b w:val="0"/>
        <w:sz w:val="20"/>
        <w:szCs w:val="22"/>
      </w:rPr>
    </w:lvl>
    <w:lvl w:ilvl="1" w:tplc="04070019" w:tentative="1">
      <w:start w:val="1"/>
      <w:numFmt w:val="lowerLetter"/>
      <w:lvlText w:val="%2."/>
      <w:lvlJc w:val="left"/>
      <w:pPr>
        <w:ind w:left="1860" w:hanging="360"/>
      </w:pPr>
    </w:lvl>
    <w:lvl w:ilvl="2" w:tplc="0407001B" w:tentative="1">
      <w:start w:val="1"/>
      <w:numFmt w:val="lowerRoman"/>
      <w:lvlText w:val="%3."/>
      <w:lvlJc w:val="right"/>
      <w:pPr>
        <w:ind w:left="2580" w:hanging="180"/>
      </w:pPr>
    </w:lvl>
    <w:lvl w:ilvl="3" w:tplc="0407000F" w:tentative="1">
      <w:start w:val="1"/>
      <w:numFmt w:val="decimal"/>
      <w:lvlText w:val="%4."/>
      <w:lvlJc w:val="left"/>
      <w:pPr>
        <w:ind w:left="3300" w:hanging="360"/>
      </w:pPr>
    </w:lvl>
    <w:lvl w:ilvl="4" w:tplc="04070019" w:tentative="1">
      <w:start w:val="1"/>
      <w:numFmt w:val="lowerLetter"/>
      <w:lvlText w:val="%5."/>
      <w:lvlJc w:val="left"/>
      <w:pPr>
        <w:ind w:left="4020" w:hanging="360"/>
      </w:pPr>
    </w:lvl>
    <w:lvl w:ilvl="5" w:tplc="0407001B" w:tentative="1">
      <w:start w:val="1"/>
      <w:numFmt w:val="lowerRoman"/>
      <w:lvlText w:val="%6."/>
      <w:lvlJc w:val="right"/>
      <w:pPr>
        <w:ind w:left="4740" w:hanging="180"/>
      </w:pPr>
    </w:lvl>
    <w:lvl w:ilvl="6" w:tplc="0407000F" w:tentative="1">
      <w:start w:val="1"/>
      <w:numFmt w:val="decimal"/>
      <w:lvlText w:val="%7."/>
      <w:lvlJc w:val="left"/>
      <w:pPr>
        <w:ind w:left="5460" w:hanging="360"/>
      </w:pPr>
    </w:lvl>
    <w:lvl w:ilvl="7" w:tplc="04070019" w:tentative="1">
      <w:start w:val="1"/>
      <w:numFmt w:val="lowerLetter"/>
      <w:lvlText w:val="%8."/>
      <w:lvlJc w:val="left"/>
      <w:pPr>
        <w:ind w:left="6180" w:hanging="360"/>
      </w:pPr>
    </w:lvl>
    <w:lvl w:ilvl="8" w:tplc="0407001B" w:tentative="1">
      <w:start w:val="1"/>
      <w:numFmt w:val="lowerRoman"/>
      <w:lvlText w:val="%9."/>
      <w:lvlJc w:val="right"/>
      <w:pPr>
        <w:ind w:left="6900" w:hanging="180"/>
      </w:pPr>
    </w:lvl>
  </w:abstractNum>
  <w:abstractNum w:abstractNumId="6" w15:restartNumberingAfterBreak="0">
    <w:nsid w:val="4B9A21E1"/>
    <w:multiLevelType w:val="hybridMultilevel"/>
    <w:tmpl w:val="8E54941A"/>
    <w:lvl w:ilvl="0" w:tplc="4184E400">
      <w:start w:val="1"/>
      <w:numFmt w:val="lowerLetter"/>
      <w:lvlText w:val="%1)"/>
      <w:lvlJc w:val="left"/>
      <w:pPr>
        <w:ind w:left="1571" w:hanging="360"/>
      </w:pPr>
      <w:rPr>
        <w:rFonts w:hint="default"/>
      </w:r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num w:numId="1">
    <w:abstractNumId w:val="3"/>
  </w:num>
  <w:num w:numId="2">
    <w:abstractNumId w:val="5"/>
  </w:num>
  <w:num w:numId="3">
    <w:abstractNumId w:val="6"/>
  </w:num>
  <w:num w:numId="4">
    <w:abstractNumId w:val="1"/>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489"/>
    <w:rsid w:val="00156E80"/>
    <w:rsid w:val="008C72C0"/>
    <w:rsid w:val="00EA64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3DA5C0-CAF2-4323-8792-0580B46AF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A6489"/>
    <w:pPr>
      <w:spacing w:after="200" w:line="276" w:lineRule="auto"/>
    </w:pPr>
    <w:rPr>
      <w:rFonts w:eastAsiaTheme="minorEastAsia"/>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A6489"/>
    <w:pPr>
      <w:ind w:left="720"/>
      <w:contextualSpacing/>
    </w:pPr>
  </w:style>
  <w:style w:type="paragraph" w:styleId="Kopfzeile">
    <w:name w:val="header"/>
    <w:basedOn w:val="Standard"/>
    <w:link w:val="KopfzeileZchn"/>
    <w:uiPriority w:val="99"/>
    <w:unhideWhenUsed/>
    <w:rsid w:val="00EA64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A6489"/>
    <w:rPr>
      <w:rFonts w:eastAsiaTheme="minorEastAsia"/>
      <w:lang w:eastAsia="de-DE"/>
    </w:rPr>
  </w:style>
  <w:style w:type="paragraph" w:styleId="Fuzeile">
    <w:name w:val="footer"/>
    <w:basedOn w:val="Standard"/>
    <w:link w:val="FuzeileZchn"/>
    <w:uiPriority w:val="99"/>
    <w:unhideWhenUsed/>
    <w:rsid w:val="00EA64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A6489"/>
    <w:rPr>
      <w:rFonts w:eastAsiaTheme="minorEastAsia"/>
      <w:lang w:eastAsia="de-DE"/>
    </w:rPr>
  </w:style>
  <w:style w:type="paragraph" w:styleId="Funotentext">
    <w:name w:val="footnote text"/>
    <w:basedOn w:val="Standard"/>
    <w:link w:val="FunotentextZchn"/>
    <w:uiPriority w:val="99"/>
    <w:semiHidden/>
    <w:unhideWhenUsed/>
    <w:rsid w:val="00EA648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EA6489"/>
    <w:rPr>
      <w:rFonts w:eastAsiaTheme="minorEastAsia"/>
      <w:sz w:val="20"/>
      <w:szCs w:val="20"/>
      <w:lang w:eastAsia="de-DE"/>
    </w:rPr>
  </w:style>
  <w:style w:type="character" w:styleId="Funotenzeichen">
    <w:name w:val="footnote reference"/>
    <w:basedOn w:val="Absatz-Standardschriftart"/>
    <w:uiPriority w:val="99"/>
    <w:semiHidden/>
    <w:unhideWhenUsed/>
    <w:rsid w:val="00EA64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1260</Words>
  <Characters>7942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Hillner (SBK Sachsen)</dc:creator>
  <cp:keywords/>
  <dc:description/>
  <cp:lastModifiedBy>Andreas Hillner (SBK Sachsen)</cp:lastModifiedBy>
  <cp:revision>1</cp:revision>
  <dcterms:created xsi:type="dcterms:W3CDTF">2021-03-29T14:57:00Z</dcterms:created>
  <dcterms:modified xsi:type="dcterms:W3CDTF">2021-03-29T15:10:00Z</dcterms:modified>
</cp:coreProperties>
</file>